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97458" w:rsidRPr="00964376" w:rsidRDefault="00DF1B67">
      <w:pPr>
        <w:pStyle w:val="Corps"/>
        <w:rPr>
          <w:sz w:val="32"/>
          <w:szCs w:val="32"/>
        </w:rPr>
      </w:pPr>
      <w:r w:rsidRPr="00964376">
        <w:rPr>
          <w:sz w:val="32"/>
          <w:szCs w:val="32"/>
        </w:rPr>
        <w:t>Mémo d</w:t>
      </w:r>
      <w:r w:rsidR="007A23C4">
        <w:rPr>
          <w:sz w:val="32"/>
          <w:szCs w:val="32"/>
        </w:rPr>
        <w:t xml:space="preserve">e la Coordination </w:t>
      </w:r>
      <w:proofErr w:type="gramStart"/>
      <w:r w:rsidR="007A23C4">
        <w:rPr>
          <w:sz w:val="32"/>
          <w:szCs w:val="32"/>
        </w:rPr>
        <w:t xml:space="preserve">du </w:t>
      </w:r>
      <w:r w:rsidRPr="00964376">
        <w:rPr>
          <w:sz w:val="32"/>
          <w:szCs w:val="32"/>
        </w:rPr>
        <w:t xml:space="preserve"> Ronnen</w:t>
      </w:r>
      <w:proofErr w:type="gramEnd"/>
      <w:r w:rsidRPr="00964376">
        <w:rPr>
          <w:sz w:val="32"/>
          <w:szCs w:val="32"/>
        </w:rPr>
        <w:t xml:space="preserve"> Desch pour les coalitionnaires </w:t>
      </w:r>
    </w:p>
    <w:p w:rsidR="0017399D" w:rsidRDefault="0017399D">
      <w:pPr>
        <w:pStyle w:val="Corps"/>
      </w:pPr>
      <w:bookmarkStart w:id="0" w:name="_GoBack"/>
      <w:bookmarkEnd w:id="0"/>
    </w:p>
    <w:p w:rsidR="00E97458" w:rsidRDefault="0017399D">
      <w:pPr>
        <w:pStyle w:val="Corps"/>
      </w:pPr>
      <w:r w:rsidRPr="0017399D">
        <w:rPr>
          <w:color w:val="000000" w:themeColor="text1"/>
          <w:highlight w:val="yellow"/>
        </w:rPr>
        <w:t xml:space="preserve">Pour </w:t>
      </w:r>
      <w:proofErr w:type="gramStart"/>
      <w:r w:rsidRPr="0017399D">
        <w:rPr>
          <w:color w:val="000000" w:themeColor="text1"/>
          <w:highlight w:val="yellow"/>
        </w:rPr>
        <w:t>dpi</w:t>
      </w:r>
      <w:r w:rsidR="00026F5E">
        <w:rPr>
          <w:color w:val="FFFFFF" w:themeColor="background1"/>
          <w:highlight w:val="darkMagenta"/>
        </w:rPr>
        <w:t xml:space="preserve"> </w:t>
      </w:r>
      <w:r w:rsidR="00565FDB">
        <w:rPr>
          <w:color w:val="FFFFFF" w:themeColor="background1"/>
          <w:highlight w:val="darkMagenta"/>
        </w:rPr>
        <w:t xml:space="preserve"> </w:t>
      </w:r>
      <w:r w:rsidRPr="0017399D">
        <w:rPr>
          <w:color w:val="FFFFFF" w:themeColor="background1"/>
          <w:highlight w:val="darkMagenta"/>
        </w:rPr>
        <w:t>Pour</w:t>
      </w:r>
      <w:proofErr w:type="gramEnd"/>
      <w:r w:rsidRPr="0017399D">
        <w:rPr>
          <w:color w:val="FFFFFF" w:themeColor="background1"/>
          <w:highlight w:val="darkMagenta"/>
        </w:rPr>
        <w:t xml:space="preserve"> tous</w:t>
      </w:r>
      <w:r w:rsidRPr="0017399D">
        <w:rPr>
          <w:color w:val="FFFFFF" w:themeColor="background1"/>
        </w:rPr>
        <w:t xml:space="preserve"> </w:t>
      </w:r>
    </w:p>
    <w:tbl>
      <w:tblPr>
        <w:tblStyle w:val="TableNormal1"/>
        <w:tblW w:w="14743"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
        <w:gridCol w:w="3544"/>
        <w:gridCol w:w="7087"/>
        <w:gridCol w:w="3686"/>
      </w:tblGrid>
      <w:tr w:rsidR="00C26BB1" w:rsidRPr="007A23C4" w:rsidTr="00B71F58">
        <w:trPr>
          <w:trHeight w:val="189"/>
        </w:trPr>
        <w:tc>
          <w:tcPr>
            <w:tcW w:w="426" w:type="dxa"/>
            <w:tcBorders>
              <w:top w:val="single" w:sz="2" w:space="0" w:color="000000"/>
              <w:left w:val="single" w:sz="2" w:space="0" w:color="000000"/>
              <w:bottom w:val="single" w:sz="2" w:space="0" w:color="000000"/>
              <w:right w:val="single" w:sz="2" w:space="0" w:color="000000"/>
            </w:tcBorders>
          </w:tcPr>
          <w:p w:rsidR="00C26BB1" w:rsidRDefault="00C26BB1">
            <w:pPr>
              <w:pStyle w:val="Styledetableau2"/>
              <w:rPr>
                <w:b/>
                <w:bCs/>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26BB1" w:rsidRDefault="00C26BB1">
            <w:pPr>
              <w:pStyle w:val="Styledetableau2"/>
            </w:pPr>
            <w:r>
              <w:rPr>
                <w:b/>
                <w:bCs/>
              </w:rPr>
              <w:t xml:space="preserve">Souci </w:t>
            </w:r>
          </w:p>
        </w:tc>
        <w:tc>
          <w:tcPr>
            <w:tcW w:w="70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26BB1" w:rsidRDefault="00C26BB1">
            <w:pPr>
              <w:pStyle w:val="Styledetableau2"/>
            </w:pPr>
            <w:r>
              <w:rPr>
                <w:b/>
                <w:bCs/>
              </w:rPr>
              <w:t>arguments</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26BB1" w:rsidRDefault="00341016">
            <w:pPr>
              <w:pStyle w:val="Styledetableau2"/>
            </w:pPr>
            <w:r>
              <w:rPr>
                <w:b/>
                <w:bCs/>
              </w:rPr>
              <w:t xml:space="preserve">groupes de travail des négociateurs </w:t>
            </w:r>
          </w:p>
        </w:tc>
      </w:tr>
      <w:tr w:rsidR="00C26BB1" w:rsidRPr="006D4F28" w:rsidTr="00B71F58">
        <w:trPr>
          <w:trHeight w:val="306"/>
        </w:trPr>
        <w:tc>
          <w:tcPr>
            <w:tcW w:w="426" w:type="dxa"/>
            <w:tcBorders>
              <w:top w:val="single" w:sz="2" w:space="0" w:color="000000"/>
              <w:left w:val="single" w:sz="2" w:space="0" w:color="000000"/>
              <w:bottom w:val="single" w:sz="2" w:space="0" w:color="000000"/>
              <w:right w:val="single" w:sz="2" w:space="0" w:color="000000"/>
            </w:tcBorders>
          </w:tcPr>
          <w:p w:rsidR="00C26BB1" w:rsidRPr="008B63D6" w:rsidRDefault="000E43EB" w:rsidP="00DB0F7B">
            <w:pPr>
              <w:pStyle w:val="Styledetableau2"/>
              <w:jc w:val="center"/>
              <w:rPr>
                <w:rFonts w:eastAsia="Arial Unicode MS" w:cs="Arial Unicode MS"/>
                <w:highlight w:val="yellow"/>
              </w:rPr>
            </w:pPr>
            <w:r w:rsidRPr="008B63D6">
              <w:rPr>
                <w:rFonts w:eastAsia="Arial Unicode MS" w:cs="Arial Unicode MS"/>
                <w:highlight w:val="yellow"/>
              </w:rPr>
              <w:t>A</w:t>
            </w:r>
          </w:p>
        </w:tc>
        <w:tc>
          <w:tcPr>
            <w:tcW w:w="3544"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26BB1" w:rsidRDefault="00C26BB1">
            <w:pPr>
              <w:pStyle w:val="Styledetableau2"/>
            </w:pPr>
            <w:r>
              <w:rPr>
                <w:rFonts w:eastAsia="Arial Unicode MS" w:cs="Arial Unicode MS"/>
              </w:rPr>
              <w:t>Accès rapide au travail des d</w:t>
            </w:r>
            <w:r w:rsidR="00C825CD">
              <w:rPr>
                <w:rFonts w:eastAsia="Arial Unicode MS" w:cs="Arial Unicode MS"/>
              </w:rPr>
              <w:t>emandeurs de protection internationale  (d</w:t>
            </w:r>
            <w:r>
              <w:rPr>
                <w:rFonts w:eastAsia="Arial Unicode MS" w:cs="Arial Unicode MS"/>
              </w:rPr>
              <w:t>pi</w:t>
            </w:r>
            <w:r w:rsidR="00C825CD">
              <w:rPr>
                <w:rFonts w:eastAsia="Arial Unicode MS" w:cs="Arial Unicode MS"/>
              </w:rPr>
              <w:t>)</w:t>
            </w:r>
            <w:r>
              <w:rPr>
                <w:rFonts w:eastAsia="Arial Unicode MS" w:cs="Arial Unicode MS"/>
              </w:rPr>
              <w:t xml:space="preserve"> </w:t>
            </w:r>
          </w:p>
        </w:tc>
        <w:tc>
          <w:tcPr>
            <w:tcW w:w="7087"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26BB1" w:rsidRDefault="00C26BB1">
            <w:pPr>
              <w:pStyle w:val="Styledetableau2"/>
              <w:rPr>
                <w:rFonts w:eastAsia="Arial Unicode MS" w:cs="Arial Unicode MS"/>
              </w:rPr>
            </w:pPr>
            <w:r>
              <w:rPr>
                <w:rFonts w:eastAsia="Arial Unicode MS" w:cs="Arial Unicode MS"/>
              </w:rPr>
              <w:t>En Allemagne: après 3 mois de procédure. Simplification administrative, y compris stages</w:t>
            </w:r>
          </w:p>
          <w:p w:rsidR="003620FA" w:rsidRDefault="003620FA">
            <w:pPr>
              <w:pStyle w:val="Styledetableau2"/>
            </w:pPr>
            <w:r>
              <w:rPr>
                <w:rFonts w:eastAsia="Arial Unicode MS" w:cs="Arial Unicode MS"/>
              </w:rPr>
              <w:t>Les longues périodes d’inactivité conduisent à la dépression, démotivent, déstructurent et compromettent l’insertion plus tard dans l’emploi ou la vie active</w:t>
            </w:r>
            <w:r w:rsidR="005B25CF">
              <w:rPr>
                <w:rFonts w:eastAsia="Arial Unicode MS" w:cs="Arial Unicode MS"/>
              </w:rPr>
              <w:t>. La réglementation actuelle produit un nombre élevé de personnes dépendantes des aides sociales, à vie.</w:t>
            </w:r>
          </w:p>
        </w:tc>
        <w:tc>
          <w:tcPr>
            <w:tcW w:w="3686"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DC08AE" w:rsidRPr="00DB6E86" w:rsidRDefault="00DC08AE">
            <w:pPr>
              <w:pStyle w:val="Styledetableau2"/>
              <w:rPr>
                <w:rFonts w:asciiTheme="majorHAnsi" w:eastAsia="Arial Unicode MS" w:hAnsiTheme="majorHAnsi" w:cs="Arial Unicode MS"/>
              </w:rPr>
            </w:pPr>
            <w:r w:rsidRPr="00DB6E86">
              <w:rPr>
                <w:rFonts w:asciiTheme="majorHAnsi" w:eastAsia="Arial Unicode MS" w:hAnsiTheme="majorHAnsi" w:cs="Arial Unicode MS"/>
              </w:rPr>
              <w:t>2. Emploi</w:t>
            </w:r>
          </w:p>
          <w:p w:rsidR="00C26BB1" w:rsidRPr="00DB6E86" w:rsidRDefault="00DC08AE">
            <w:pPr>
              <w:pStyle w:val="Styledetableau2"/>
              <w:rPr>
                <w:rFonts w:asciiTheme="majorHAnsi" w:hAnsiTheme="majorHAnsi"/>
              </w:rPr>
            </w:pPr>
            <w:r w:rsidRPr="00DB6E86">
              <w:rPr>
                <w:rFonts w:asciiTheme="majorHAnsi" w:eastAsia="Arial Unicode MS" w:hAnsiTheme="majorHAnsi" w:cs="Arial Unicode MS"/>
              </w:rPr>
              <w:t xml:space="preserve">8. Integration, Immigration , </w:t>
            </w:r>
          </w:p>
        </w:tc>
      </w:tr>
      <w:tr w:rsidR="00C825CD" w:rsidRPr="006D4F28" w:rsidTr="00B71F58">
        <w:trPr>
          <w:trHeight w:val="306"/>
        </w:trPr>
        <w:tc>
          <w:tcPr>
            <w:tcW w:w="426" w:type="dxa"/>
            <w:tcBorders>
              <w:top w:val="single" w:sz="2" w:space="0" w:color="000000"/>
              <w:left w:val="single" w:sz="2" w:space="0" w:color="000000"/>
              <w:bottom w:val="single" w:sz="2" w:space="0" w:color="000000"/>
              <w:right w:val="single" w:sz="2" w:space="0" w:color="000000"/>
            </w:tcBorders>
          </w:tcPr>
          <w:p w:rsidR="00C825CD" w:rsidRPr="008B63D6" w:rsidRDefault="00C825CD" w:rsidP="00DB0F7B">
            <w:pPr>
              <w:pStyle w:val="Styledetableau2"/>
              <w:jc w:val="center"/>
              <w:rPr>
                <w:rFonts w:eastAsia="Arial Unicode MS" w:cs="Arial Unicode MS"/>
                <w:highlight w:val="yellow"/>
              </w:rPr>
            </w:pPr>
            <w:r w:rsidRPr="008B63D6">
              <w:rPr>
                <w:rFonts w:eastAsia="Arial Unicode MS" w:cs="Arial Unicode MS"/>
                <w:highlight w:val="yellow"/>
              </w:rPr>
              <w:t>B</w:t>
            </w:r>
          </w:p>
        </w:tc>
        <w:tc>
          <w:tcPr>
            <w:tcW w:w="3544"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825CD" w:rsidRPr="003A461B" w:rsidRDefault="00341016" w:rsidP="00C825CD">
            <w:pPr>
              <w:pStyle w:val="Styledetableau2"/>
              <w:rPr>
                <w:color w:val="000000" w:themeColor="text1"/>
              </w:rPr>
            </w:pPr>
            <w:r w:rsidRPr="003A461B">
              <w:rPr>
                <w:rFonts w:eastAsia="Arial Unicode MS" w:cs="Arial Unicode MS"/>
                <w:color w:val="000000" w:themeColor="text1"/>
              </w:rPr>
              <w:t>Bilan</w:t>
            </w:r>
            <w:r w:rsidR="00C825CD" w:rsidRPr="003A461B">
              <w:rPr>
                <w:rFonts w:eastAsia="Arial Unicode MS" w:cs="Arial Unicode MS"/>
                <w:color w:val="000000" w:themeColor="text1"/>
              </w:rPr>
              <w:t xml:space="preserve"> de compétences </w:t>
            </w:r>
            <w:r w:rsidRPr="003A461B">
              <w:rPr>
                <w:rFonts w:eastAsia="Arial Unicode MS" w:cs="Arial Unicode MS"/>
                <w:color w:val="000000" w:themeColor="text1"/>
              </w:rPr>
              <w:t>théorique</w:t>
            </w:r>
            <w:r w:rsidR="006D4F28" w:rsidRPr="003A461B">
              <w:rPr>
                <w:rFonts w:eastAsia="Arial Unicode MS" w:cs="Arial Unicode MS"/>
                <w:color w:val="000000" w:themeColor="text1"/>
              </w:rPr>
              <w:t xml:space="preserve">s </w:t>
            </w:r>
            <w:r w:rsidRPr="003A461B">
              <w:rPr>
                <w:rFonts w:eastAsia="Arial Unicode MS" w:cs="Arial Unicode MS"/>
                <w:color w:val="000000" w:themeColor="text1"/>
              </w:rPr>
              <w:t xml:space="preserve">et pratiques </w:t>
            </w:r>
            <w:r w:rsidR="00C825CD" w:rsidRPr="003A461B">
              <w:rPr>
                <w:rFonts w:eastAsia="Arial Unicode MS" w:cs="Arial Unicode MS"/>
                <w:color w:val="000000" w:themeColor="text1"/>
              </w:rPr>
              <w:t xml:space="preserve">des dpi </w:t>
            </w:r>
          </w:p>
        </w:tc>
        <w:tc>
          <w:tcPr>
            <w:tcW w:w="7087"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825CD" w:rsidRPr="003A461B" w:rsidRDefault="00341016" w:rsidP="00C825CD">
            <w:pPr>
              <w:pStyle w:val="Styledetableau2"/>
              <w:rPr>
                <w:color w:val="000000" w:themeColor="text1"/>
              </w:rPr>
            </w:pPr>
            <w:r w:rsidRPr="003A461B">
              <w:rPr>
                <w:rFonts w:eastAsia="Arial Unicode MS" w:cs="Arial Unicode MS"/>
                <w:color w:val="000000" w:themeColor="text1"/>
              </w:rPr>
              <w:t>Evaluer les</w:t>
            </w:r>
            <w:r w:rsidR="00854A24" w:rsidRPr="003A461B">
              <w:rPr>
                <w:rFonts w:eastAsia="Arial Unicode MS" w:cs="Arial Unicode MS"/>
                <w:color w:val="000000" w:themeColor="text1"/>
              </w:rPr>
              <w:t xml:space="preserve"> compétences </w:t>
            </w:r>
            <w:r w:rsidRPr="003A461B">
              <w:rPr>
                <w:rFonts w:eastAsia="Arial Unicode MS" w:cs="Arial Unicode MS"/>
                <w:color w:val="000000" w:themeColor="text1"/>
              </w:rPr>
              <w:t xml:space="preserve"> pratiques </w:t>
            </w:r>
            <w:r w:rsidR="00854A24" w:rsidRPr="003A461B">
              <w:rPr>
                <w:rFonts w:eastAsia="Arial Unicode MS" w:cs="Arial Unicode MS"/>
                <w:color w:val="000000" w:themeColor="text1"/>
              </w:rPr>
              <w:t xml:space="preserve">au tout début de la procédure. </w:t>
            </w:r>
            <w:r w:rsidR="006D4F28" w:rsidRPr="003A461B">
              <w:rPr>
                <w:rFonts w:eastAsia="Arial Unicode MS" w:cs="Arial Unicode MS"/>
                <w:color w:val="000000" w:themeColor="text1"/>
              </w:rPr>
              <w:t xml:space="preserve">et en tenir compte dans l’orientation scolaire et professionnelle </w:t>
            </w:r>
            <w:r w:rsidR="00C825CD" w:rsidRPr="003A461B">
              <w:rPr>
                <w:rFonts w:eastAsia="Arial Unicode MS" w:cs="Arial Unicode MS"/>
                <w:color w:val="000000" w:themeColor="text1"/>
              </w:rPr>
              <w:t xml:space="preserve"> </w:t>
            </w:r>
          </w:p>
        </w:tc>
        <w:tc>
          <w:tcPr>
            <w:tcW w:w="3686"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1C17EF" w:rsidRPr="00DB6E86" w:rsidRDefault="001C17EF" w:rsidP="00C825CD">
            <w:pPr>
              <w:pStyle w:val="Styledetableau2"/>
              <w:rPr>
                <w:rFonts w:asciiTheme="majorHAnsi" w:hAnsiTheme="majorHAnsi"/>
              </w:rPr>
            </w:pPr>
            <w:r w:rsidRPr="00DB6E86">
              <w:rPr>
                <w:rFonts w:asciiTheme="majorHAnsi" w:hAnsiTheme="majorHAnsi"/>
              </w:rPr>
              <w:t>2. Emploi</w:t>
            </w:r>
          </w:p>
          <w:p w:rsidR="00C825CD" w:rsidRPr="00DB6E86" w:rsidRDefault="001C17EF" w:rsidP="00C825CD">
            <w:pPr>
              <w:pStyle w:val="Styledetableau2"/>
              <w:rPr>
                <w:rFonts w:asciiTheme="majorHAnsi" w:hAnsiTheme="majorHAnsi"/>
              </w:rPr>
            </w:pPr>
            <w:r w:rsidRPr="00DB6E86">
              <w:rPr>
                <w:rFonts w:asciiTheme="majorHAnsi" w:hAnsiTheme="majorHAnsi"/>
              </w:rPr>
              <w:t>4. Education</w:t>
            </w:r>
          </w:p>
          <w:p w:rsidR="001C17EF" w:rsidRPr="00DB6E86" w:rsidRDefault="001C17EF" w:rsidP="00C825CD">
            <w:pPr>
              <w:pStyle w:val="Styledetableau2"/>
              <w:rPr>
                <w:rFonts w:asciiTheme="majorHAnsi" w:hAnsiTheme="majorHAnsi"/>
              </w:rPr>
            </w:pPr>
            <w:r w:rsidRPr="00DB6E86">
              <w:rPr>
                <w:rFonts w:asciiTheme="majorHAnsi" w:eastAsia="Arial Unicode MS" w:hAnsiTheme="majorHAnsi" w:cs="Arial Unicode MS"/>
              </w:rPr>
              <w:t>8. Integration, Immigration ,</w:t>
            </w:r>
          </w:p>
        </w:tc>
      </w:tr>
      <w:tr w:rsidR="00C825CD" w:rsidRPr="00C825CD" w:rsidTr="00B71F58">
        <w:trPr>
          <w:trHeight w:val="306"/>
        </w:trPr>
        <w:tc>
          <w:tcPr>
            <w:tcW w:w="426" w:type="dxa"/>
            <w:tcBorders>
              <w:top w:val="single" w:sz="2" w:space="0" w:color="000000"/>
              <w:left w:val="single" w:sz="2" w:space="0" w:color="000000"/>
              <w:bottom w:val="single" w:sz="2" w:space="0" w:color="000000"/>
              <w:right w:val="single" w:sz="2" w:space="0" w:color="000000"/>
            </w:tcBorders>
          </w:tcPr>
          <w:p w:rsidR="00C825CD" w:rsidRPr="008B63D6" w:rsidRDefault="00C825CD" w:rsidP="00DB0F7B">
            <w:pPr>
              <w:pStyle w:val="Styledetableau2"/>
              <w:jc w:val="center"/>
              <w:rPr>
                <w:rFonts w:eastAsia="Arial Unicode MS" w:cs="Arial Unicode MS"/>
                <w:highlight w:val="yellow"/>
              </w:rPr>
            </w:pPr>
            <w:r w:rsidRPr="008B63D6">
              <w:rPr>
                <w:rFonts w:eastAsia="Arial Unicode MS" w:cs="Arial Unicode MS"/>
                <w:highlight w:val="yellow"/>
              </w:rPr>
              <w:t>C</w:t>
            </w:r>
          </w:p>
        </w:tc>
        <w:tc>
          <w:tcPr>
            <w:tcW w:w="3544"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825CD" w:rsidRPr="003A461B" w:rsidRDefault="00C825CD" w:rsidP="00C825CD">
            <w:pPr>
              <w:pStyle w:val="Styledetableau2"/>
              <w:rPr>
                <w:color w:val="000000" w:themeColor="text1"/>
              </w:rPr>
            </w:pPr>
            <w:r w:rsidRPr="003A461B">
              <w:rPr>
                <w:rFonts w:eastAsia="Arial Unicode MS" w:cs="Arial Unicode MS"/>
                <w:color w:val="000000" w:themeColor="text1"/>
              </w:rPr>
              <w:t xml:space="preserve">Durée de la procédure des dpi </w:t>
            </w:r>
          </w:p>
        </w:tc>
        <w:tc>
          <w:tcPr>
            <w:tcW w:w="7087"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825CD" w:rsidRPr="003A461B" w:rsidRDefault="00C825CD" w:rsidP="00C825CD">
            <w:pPr>
              <w:pStyle w:val="Styledetableau2"/>
              <w:rPr>
                <w:color w:val="000000" w:themeColor="text1"/>
              </w:rPr>
            </w:pPr>
            <w:r w:rsidRPr="003A461B">
              <w:rPr>
                <w:rFonts w:eastAsia="Arial Unicode MS" w:cs="Arial Unicode MS"/>
                <w:color w:val="000000" w:themeColor="text1"/>
              </w:rPr>
              <w:t xml:space="preserve">Les 6 mois ne sont que rarement respectés, </w:t>
            </w:r>
            <w:r w:rsidR="0084790A" w:rsidRPr="003A461B">
              <w:rPr>
                <w:rFonts w:eastAsia="Arial Unicode MS" w:cs="Arial Unicode MS"/>
                <w:color w:val="000000" w:themeColor="text1"/>
              </w:rPr>
              <w:t xml:space="preserve">Nécessité de revoir les procédures/ </w:t>
            </w:r>
            <w:r w:rsidRPr="003A461B">
              <w:rPr>
                <w:rFonts w:eastAsia="Arial Unicode MS" w:cs="Arial Unicode MS"/>
                <w:color w:val="000000" w:themeColor="text1"/>
              </w:rPr>
              <w:t>augmenter les moyens</w:t>
            </w:r>
            <w:r w:rsidR="0084790A" w:rsidRPr="003A461B">
              <w:rPr>
                <w:rFonts w:eastAsia="Arial Unicode MS" w:cs="Arial Unicode MS"/>
                <w:color w:val="000000" w:themeColor="text1"/>
              </w:rPr>
              <w:t xml:space="preserve">. </w:t>
            </w:r>
          </w:p>
        </w:tc>
        <w:tc>
          <w:tcPr>
            <w:tcW w:w="3686"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825CD" w:rsidRPr="00DB6E86" w:rsidRDefault="001C17EF" w:rsidP="00C825CD">
            <w:pPr>
              <w:pStyle w:val="Styledetableau2"/>
              <w:rPr>
                <w:rFonts w:asciiTheme="majorHAnsi" w:hAnsiTheme="majorHAnsi"/>
              </w:rPr>
            </w:pPr>
            <w:r w:rsidRPr="00DB6E86">
              <w:rPr>
                <w:rFonts w:asciiTheme="majorHAnsi" w:eastAsia="Arial Unicode MS" w:hAnsiTheme="majorHAnsi" w:cs="Arial Unicode MS"/>
              </w:rPr>
              <w:t>8. Integration, Immigration ,</w:t>
            </w:r>
          </w:p>
        </w:tc>
      </w:tr>
      <w:tr w:rsidR="00C825CD" w:rsidRPr="006D4F28" w:rsidTr="00B71F58">
        <w:trPr>
          <w:trHeight w:val="306"/>
        </w:trPr>
        <w:tc>
          <w:tcPr>
            <w:tcW w:w="426" w:type="dxa"/>
            <w:tcBorders>
              <w:top w:val="single" w:sz="2" w:space="0" w:color="000000"/>
              <w:left w:val="single" w:sz="2" w:space="0" w:color="000000"/>
              <w:bottom w:val="single" w:sz="2" w:space="0" w:color="000000"/>
              <w:right w:val="single" w:sz="2" w:space="0" w:color="000000"/>
            </w:tcBorders>
          </w:tcPr>
          <w:p w:rsidR="00C825CD" w:rsidRPr="008B63D6" w:rsidRDefault="00C825CD" w:rsidP="00DB0F7B">
            <w:pPr>
              <w:pStyle w:val="Styledetableau2"/>
              <w:jc w:val="center"/>
              <w:rPr>
                <w:rFonts w:eastAsia="Arial Unicode MS" w:cs="Arial Unicode MS"/>
                <w:highlight w:val="yellow"/>
              </w:rPr>
            </w:pPr>
            <w:r w:rsidRPr="008B63D6">
              <w:rPr>
                <w:rFonts w:eastAsia="Arial Unicode MS" w:cs="Arial Unicode MS"/>
                <w:highlight w:val="yellow"/>
              </w:rPr>
              <w:t>D</w:t>
            </w:r>
          </w:p>
        </w:tc>
        <w:tc>
          <w:tcPr>
            <w:tcW w:w="3544"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825CD" w:rsidRPr="003A461B" w:rsidRDefault="00C825CD" w:rsidP="00C825CD">
            <w:pPr>
              <w:pStyle w:val="Styledetableau2"/>
              <w:rPr>
                <w:color w:val="000000" w:themeColor="text1"/>
              </w:rPr>
            </w:pPr>
            <w:r w:rsidRPr="003A461B">
              <w:rPr>
                <w:rFonts w:eastAsia="Arial Unicode MS" w:cs="Arial Unicode MS"/>
                <w:color w:val="000000" w:themeColor="text1"/>
              </w:rPr>
              <w:t xml:space="preserve">Détection et traitement des </w:t>
            </w:r>
            <w:r w:rsidR="0084790A" w:rsidRPr="003A461B">
              <w:rPr>
                <w:rFonts w:eastAsia="Arial Unicode MS" w:cs="Arial Unicode MS"/>
                <w:color w:val="000000" w:themeColor="text1"/>
              </w:rPr>
              <w:t xml:space="preserve">vulnérabilités et </w:t>
            </w:r>
            <w:r w:rsidRPr="003A461B">
              <w:rPr>
                <w:rFonts w:eastAsia="Arial Unicode MS" w:cs="Arial Unicode MS"/>
                <w:color w:val="000000" w:themeColor="text1"/>
              </w:rPr>
              <w:t xml:space="preserve">traumatismes des dpi </w:t>
            </w:r>
          </w:p>
        </w:tc>
        <w:tc>
          <w:tcPr>
            <w:tcW w:w="7087"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C825CD" w:rsidRPr="003A461B" w:rsidRDefault="00C825CD" w:rsidP="00C825CD">
            <w:pPr>
              <w:pStyle w:val="Styledetableau2"/>
              <w:rPr>
                <w:rFonts w:eastAsia="Arial Unicode MS" w:cs="Arial Unicode MS"/>
                <w:color w:val="000000" w:themeColor="text1"/>
              </w:rPr>
            </w:pPr>
            <w:r w:rsidRPr="003A461B">
              <w:rPr>
                <w:rFonts w:eastAsia="Arial Unicode MS" w:cs="Arial Unicode MS"/>
                <w:color w:val="000000" w:themeColor="text1"/>
              </w:rPr>
              <w:t xml:space="preserve">La durée </w:t>
            </w:r>
            <w:r w:rsidR="003620FA" w:rsidRPr="003A461B">
              <w:rPr>
                <w:rFonts w:eastAsia="Arial Unicode MS" w:cs="Arial Unicode MS"/>
                <w:color w:val="000000" w:themeColor="text1"/>
              </w:rPr>
              <w:t xml:space="preserve">et l’opacité </w:t>
            </w:r>
            <w:r w:rsidRPr="003A461B">
              <w:rPr>
                <w:rFonts w:eastAsia="Arial Unicode MS" w:cs="Arial Unicode MS"/>
                <w:color w:val="000000" w:themeColor="text1"/>
              </w:rPr>
              <w:t>de la procédure</w:t>
            </w:r>
            <w:r w:rsidR="00120C07" w:rsidRPr="003A461B">
              <w:rPr>
                <w:rFonts w:eastAsia="Arial Unicode MS" w:cs="Arial Unicode MS"/>
                <w:color w:val="000000" w:themeColor="text1"/>
              </w:rPr>
              <w:t xml:space="preserve"> </w:t>
            </w:r>
            <w:r w:rsidR="002F2A33" w:rsidRPr="003A461B">
              <w:rPr>
                <w:rFonts w:eastAsia="Arial Unicode MS" w:cs="Arial Unicode MS"/>
                <w:color w:val="000000" w:themeColor="text1"/>
              </w:rPr>
              <w:t xml:space="preserve">font augmenter les traumatismes, </w:t>
            </w:r>
            <w:r w:rsidR="00386ED0" w:rsidRPr="003A461B">
              <w:rPr>
                <w:rFonts w:eastAsia="Arial Unicode MS" w:cs="Arial Unicode MS"/>
                <w:color w:val="000000" w:themeColor="text1"/>
              </w:rPr>
              <w:t>Il faut en assurer le soin dans la durée.</w:t>
            </w:r>
            <w:r w:rsidR="00120C07" w:rsidRPr="003A461B">
              <w:rPr>
                <w:rFonts w:eastAsia="Arial Unicode MS" w:cs="Arial Unicode MS"/>
                <w:color w:val="000000" w:themeColor="text1"/>
              </w:rPr>
              <w:t xml:space="preserve"> </w:t>
            </w:r>
          </w:p>
        </w:tc>
        <w:tc>
          <w:tcPr>
            <w:tcW w:w="3686" w:type="dxa"/>
            <w:tcBorders>
              <w:top w:val="single" w:sz="2" w:space="0" w:color="000000"/>
              <w:left w:val="single" w:sz="2" w:space="0" w:color="000000"/>
              <w:bottom w:val="single" w:sz="2" w:space="0" w:color="000000"/>
              <w:right w:val="single" w:sz="2" w:space="0" w:color="000000"/>
            </w:tcBorders>
            <w:shd w:val="clear" w:color="auto" w:fill="FDF3AD" w:themeFill="accent4" w:themeFillTint="66"/>
            <w:tcMar>
              <w:top w:w="80" w:type="dxa"/>
              <w:left w:w="80" w:type="dxa"/>
              <w:bottom w:w="80" w:type="dxa"/>
              <w:right w:w="80" w:type="dxa"/>
            </w:tcMar>
          </w:tcPr>
          <w:p w:rsidR="001C17EF" w:rsidRPr="00DB6E86" w:rsidRDefault="001C17EF" w:rsidP="00C825CD">
            <w:pPr>
              <w:rPr>
                <w:rFonts w:asciiTheme="majorHAnsi" w:hAnsiTheme="majorHAnsi" w:cs="Arial Unicode MS"/>
                <w:sz w:val="20"/>
                <w:szCs w:val="20"/>
              </w:rPr>
            </w:pPr>
            <w:r w:rsidRPr="00DB6E86">
              <w:rPr>
                <w:rFonts w:asciiTheme="majorHAnsi" w:hAnsiTheme="majorHAnsi" w:cs="Arial Unicode MS"/>
                <w:sz w:val="20"/>
                <w:szCs w:val="20"/>
              </w:rPr>
              <w:t xml:space="preserve">3. Famille, Santé </w:t>
            </w:r>
          </w:p>
          <w:p w:rsidR="00C825CD" w:rsidRPr="00DB6E86" w:rsidRDefault="001C17EF" w:rsidP="00C825CD">
            <w:pPr>
              <w:rPr>
                <w:rFonts w:asciiTheme="majorHAnsi" w:hAnsiTheme="majorHAnsi"/>
                <w:sz w:val="20"/>
                <w:szCs w:val="20"/>
                <w:lang w:val="fr-LU"/>
              </w:rPr>
            </w:pPr>
            <w:r w:rsidRPr="00DB6E86">
              <w:rPr>
                <w:rFonts w:asciiTheme="majorHAnsi" w:hAnsiTheme="majorHAnsi" w:cs="Arial Unicode MS"/>
                <w:sz w:val="20"/>
                <w:szCs w:val="20"/>
              </w:rPr>
              <w:t xml:space="preserve">8. Integration, </w:t>
            </w:r>
            <w:proofErr w:type="gramStart"/>
            <w:r w:rsidRPr="00DB6E86">
              <w:rPr>
                <w:rFonts w:asciiTheme="majorHAnsi" w:hAnsiTheme="majorHAnsi" w:cs="Arial Unicode MS"/>
                <w:sz w:val="20"/>
                <w:szCs w:val="20"/>
              </w:rPr>
              <w:t>Immigration ,</w:t>
            </w:r>
            <w:proofErr w:type="gramEnd"/>
          </w:p>
        </w:tc>
      </w:tr>
      <w:tr w:rsidR="00C825CD" w:rsidRPr="00341016" w:rsidTr="00B71F58">
        <w:trPr>
          <w:trHeight w:val="306"/>
        </w:trPr>
        <w:tc>
          <w:tcPr>
            <w:tcW w:w="426" w:type="dxa"/>
            <w:tcBorders>
              <w:top w:val="single" w:sz="2" w:space="0" w:color="000000"/>
              <w:left w:val="single" w:sz="2" w:space="0" w:color="000000"/>
              <w:bottom w:val="single" w:sz="2" w:space="0" w:color="000000"/>
              <w:right w:val="single" w:sz="2" w:space="0" w:color="000000"/>
            </w:tcBorders>
          </w:tcPr>
          <w:p w:rsidR="00C825CD" w:rsidRDefault="00C825CD" w:rsidP="00DB0F7B">
            <w:pPr>
              <w:pStyle w:val="Styledetableau2"/>
              <w:jc w:val="center"/>
              <w:rPr>
                <w:rFonts w:eastAsia="Arial Unicode MS" w:cs="Arial Unicode MS"/>
              </w:rPr>
            </w:pPr>
            <w:r>
              <w:rPr>
                <w:rFonts w:eastAsia="Arial Unicode MS" w:cs="Arial Unicode MS"/>
              </w:rPr>
              <w:t>E</w:t>
            </w:r>
          </w:p>
        </w:tc>
        <w:tc>
          <w:tcPr>
            <w:tcW w:w="3544"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3175C1" w:rsidRPr="003A461B" w:rsidRDefault="00373E09" w:rsidP="00C825CD">
            <w:pPr>
              <w:pStyle w:val="Styledetableau2"/>
              <w:rPr>
                <w:rFonts w:eastAsia="Arial Unicode MS" w:cs="Arial Unicode MS"/>
                <w:color w:val="000000" w:themeColor="text1"/>
              </w:rPr>
            </w:pPr>
            <w:r w:rsidRPr="003A461B">
              <w:rPr>
                <w:rFonts w:eastAsia="Arial Unicode MS" w:cs="Arial Unicode MS"/>
                <w:color w:val="000000" w:themeColor="text1"/>
              </w:rPr>
              <w:t>-</w:t>
            </w:r>
            <w:r w:rsidR="0084790A" w:rsidRPr="003A461B">
              <w:rPr>
                <w:rFonts w:eastAsia="Arial Unicode MS" w:cs="Arial Unicode MS"/>
                <w:color w:val="000000" w:themeColor="text1"/>
              </w:rPr>
              <w:t xml:space="preserve">Couverture sanitaire </w:t>
            </w:r>
            <w:r w:rsidR="00C825CD" w:rsidRPr="003A461B">
              <w:rPr>
                <w:rFonts w:eastAsia="Arial Unicode MS" w:cs="Arial Unicode MS"/>
                <w:color w:val="000000" w:themeColor="text1"/>
              </w:rPr>
              <w:t xml:space="preserve"> </w:t>
            </w:r>
            <w:r w:rsidR="0084790A" w:rsidRPr="003A461B">
              <w:rPr>
                <w:rFonts w:eastAsia="Arial Unicode MS" w:cs="Arial Unicode MS"/>
                <w:color w:val="000000" w:themeColor="text1"/>
              </w:rPr>
              <w:t xml:space="preserve">universelle </w:t>
            </w:r>
          </w:p>
          <w:p w:rsidR="00C825CD" w:rsidRPr="003A461B" w:rsidRDefault="00373E09" w:rsidP="00C825CD">
            <w:pPr>
              <w:pStyle w:val="Styledetableau2"/>
              <w:rPr>
                <w:rFonts w:eastAsia="Arial Unicode MS" w:cs="Arial Unicode MS"/>
                <w:color w:val="000000" w:themeColor="text1"/>
              </w:rPr>
            </w:pPr>
            <w:r w:rsidRPr="003A461B">
              <w:rPr>
                <w:rFonts w:eastAsia="Arial Unicode MS" w:cs="Arial Unicode MS"/>
                <w:color w:val="000000" w:themeColor="text1"/>
              </w:rPr>
              <w:t xml:space="preserve">- </w:t>
            </w:r>
            <w:r w:rsidR="003175C1" w:rsidRPr="003A461B">
              <w:rPr>
                <w:rFonts w:eastAsia="Arial Unicode MS" w:cs="Arial Unicode MS"/>
                <w:color w:val="000000" w:themeColor="text1"/>
              </w:rPr>
              <w:t xml:space="preserve">Tiers payant généralisé </w:t>
            </w:r>
            <w:r w:rsidR="00C825CD" w:rsidRPr="003A461B">
              <w:rPr>
                <w:rFonts w:eastAsia="Arial Unicode MS" w:cs="Arial Unicode MS"/>
                <w:color w:val="000000" w:themeColor="text1"/>
              </w:rPr>
              <w:t xml:space="preserve"> </w:t>
            </w:r>
          </w:p>
          <w:p w:rsidR="00373E09" w:rsidRPr="003A461B" w:rsidRDefault="00373E09" w:rsidP="00C825CD">
            <w:pPr>
              <w:pStyle w:val="Styledetableau2"/>
              <w:rPr>
                <w:color w:val="000000" w:themeColor="text1"/>
              </w:rPr>
            </w:pPr>
            <w:r w:rsidRPr="003A461B">
              <w:rPr>
                <w:color w:val="000000" w:themeColor="text1"/>
              </w:rPr>
              <w:t xml:space="preserve">- Tiers payant social simplifié </w:t>
            </w:r>
          </w:p>
          <w:p w:rsidR="00373E09" w:rsidRPr="003A461B" w:rsidRDefault="00373E09" w:rsidP="00C825CD">
            <w:pPr>
              <w:pStyle w:val="Styledetableau2"/>
              <w:rPr>
                <w:color w:val="000000" w:themeColor="text1"/>
              </w:rPr>
            </w:pPr>
            <w:r w:rsidRPr="003A461B">
              <w:rPr>
                <w:color w:val="000000" w:themeColor="text1"/>
              </w:rPr>
              <w:t>- Préciser</w:t>
            </w:r>
            <w:r w:rsidR="00222247" w:rsidRPr="003A461B">
              <w:rPr>
                <w:color w:val="000000" w:themeColor="text1"/>
              </w:rPr>
              <w:t xml:space="preserve"> l</w:t>
            </w:r>
            <w:r w:rsidRPr="003A461B">
              <w:rPr>
                <w:color w:val="000000" w:themeColor="text1"/>
              </w:rPr>
              <w:t xml:space="preserve">es droits </w:t>
            </w:r>
          </w:p>
        </w:tc>
        <w:tc>
          <w:tcPr>
            <w:tcW w:w="7087"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3A461B" w:rsidRDefault="0084790A" w:rsidP="00C825CD">
            <w:pPr>
              <w:pStyle w:val="Styledetableau2"/>
              <w:rPr>
                <w:color w:val="000000" w:themeColor="text1"/>
              </w:rPr>
            </w:pPr>
            <w:r w:rsidRPr="003A461B">
              <w:rPr>
                <w:rFonts w:eastAsia="Arial Unicode MS" w:cs="Arial Unicode MS"/>
                <w:color w:val="000000" w:themeColor="text1"/>
              </w:rPr>
              <w:t>De</w:t>
            </w:r>
            <w:r w:rsidR="00C825CD" w:rsidRPr="003A461B">
              <w:rPr>
                <w:rFonts w:eastAsia="Arial Unicode MS" w:cs="Arial Unicode MS"/>
                <w:color w:val="000000" w:themeColor="text1"/>
              </w:rPr>
              <w:t xml:space="preserve"> nombreuses situations ne se fondent sur aucun texte </w:t>
            </w:r>
            <w:r w:rsidR="001958ED" w:rsidRPr="003A461B">
              <w:rPr>
                <w:rFonts w:eastAsia="Arial Unicode MS" w:cs="Arial Unicode MS"/>
                <w:color w:val="000000" w:themeColor="text1"/>
              </w:rPr>
              <w:t xml:space="preserve">et sont de l’ordre </w:t>
            </w:r>
            <w:r w:rsidR="00FE5193" w:rsidRPr="003A461B">
              <w:rPr>
                <w:rFonts w:eastAsia="Arial Unicode MS" w:cs="Arial Unicode MS"/>
                <w:color w:val="000000" w:themeColor="text1"/>
              </w:rPr>
              <w:t>du pouvoir discrétionnaire des administrations</w:t>
            </w:r>
          </w:p>
        </w:tc>
        <w:tc>
          <w:tcPr>
            <w:tcW w:w="3686"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DB6E86" w:rsidRDefault="00DA413A" w:rsidP="00C825CD">
            <w:pPr>
              <w:pStyle w:val="Styledetableau2"/>
              <w:rPr>
                <w:rFonts w:asciiTheme="majorHAnsi" w:hAnsiTheme="majorHAnsi"/>
              </w:rPr>
            </w:pPr>
            <w:r w:rsidRPr="00DB6E86">
              <w:rPr>
                <w:rFonts w:asciiTheme="majorHAnsi" w:eastAsia="Arial Unicode MS" w:hAnsiTheme="majorHAnsi" w:cs="Arial Unicode MS"/>
              </w:rPr>
              <w:t>3. Santé</w:t>
            </w:r>
          </w:p>
        </w:tc>
      </w:tr>
      <w:tr w:rsidR="00C825CD" w:rsidRPr="00341016" w:rsidTr="00B71F58">
        <w:trPr>
          <w:trHeight w:val="306"/>
        </w:trPr>
        <w:tc>
          <w:tcPr>
            <w:tcW w:w="426" w:type="dxa"/>
            <w:tcBorders>
              <w:top w:val="single" w:sz="2" w:space="0" w:color="000000"/>
              <w:left w:val="single" w:sz="2" w:space="0" w:color="000000"/>
              <w:bottom w:val="single" w:sz="2" w:space="0" w:color="000000"/>
              <w:right w:val="single" w:sz="2" w:space="0" w:color="000000"/>
            </w:tcBorders>
          </w:tcPr>
          <w:p w:rsidR="00C825CD" w:rsidRDefault="00C825CD" w:rsidP="00DB0F7B">
            <w:pPr>
              <w:pStyle w:val="Styledetableau2"/>
              <w:jc w:val="center"/>
              <w:rPr>
                <w:rFonts w:eastAsia="Arial Unicode MS" w:cs="Arial Unicode MS"/>
              </w:rPr>
            </w:pPr>
            <w:r>
              <w:rPr>
                <w:rFonts w:eastAsia="Arial Unicode MS" w:cs="Arial Unicode MS"/>
              </w:rPr>
              <w:t>F</w:t>
            </w:r>
          </w:p>
        </w:tc>
        <w:tc>
          <w:tcPr>
            <w:tcW w:w="3544"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3A461B" w:rsidRDefault="00C825CD" w:rsidP="00C825CD">
            <w:pPr>
              <w:pStyle w:val="Styledetableau2"/>
              <w:rPr>
                <w:rFonts w:eastAsia="Arial Unicode MS" w:cs="Arial Unicode MS"/>
                <w:color w:val="000000" w:themeColor="text1"/>
              </w:rPr>
            </w:pPr>
            <w:r w:rsidRPr="003A461B">
              <w:rPr>
                <w:rFonts w:eastAsia="Arial Unicode MS" w:cs="Arial Unicode MS"/>
                <w:color w:val="000000" w:themeColor="text1"/>
              </w:rPr>
              <w:t xml:space="preserve">Aides sociales égales  aux &lt; 25 ans </w:t>
            </w:r>
          </w:p>
        </w:tc>
        <w:tc>
          <w:tcPr>
            <w:tcW w:w="7087"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451295" w:rsidRPr="003A461B" w:rsidRDefault="00C825CD" w:rsidP="00C825CD">
            <w:pPr>
              <w:pStyle w:val="Styledetableau2"/>
              <w:rPr>
                <w:rFonts w:eastAsia="Arial Unicode MS" w:cs="Arial Unicode MS"/>
                <w:color w:val="000000" w:themeColor="text1"/>
              </w:rPr>
            </w:pPr>
            <w:r w:rsidRPr="003A461B">
              <w:rPr>
                <w:rFonts w:eastAsia="Arial Unicode MS" w:cs="Arial Unicode MS"/>
                <w:color w:val="000000" w:themeColor="text1"/>
              </w:rPr>
              <w:t xml:space="preserve">Les appuis aux jeunes &lt; 25 ans ne bénéficiant pas du REVIS peuvent varier du simple au décuple selon les Offices Sociaux </w:t>
            </w:r>
          </w:p>
        </w:tc>
        <w:tc>
          <w:tcPr>
            <w:tcW w:w="3686"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DB6E86" w:rsidRDefault="00DA413A" w:rsidP="00C825CD">
            <w:pPr>
              <w:pStyle w:val="Styledetableau2"/>
              <w:rPr>
                <w:rFonts w:asciiTheme="majorHAnsi" w:eastAsia="Arial Unicode MS" w:hAnsiTheme="majorHAnsi" w:cs="Arial Unicode MS"/>
              </w:rPr>
            </w:pPr>
            <w:r w:rsidRPr="00DB6E86">
              <w:rPr>
                <w:rFonts w:asciiTheme="majorHAnsi" w:hAnsiTheme="majorHAnsi" w:cs="Arial Unicode MS"/>
              </w:rPr>
              <w:t>3. Famille</w:t>
            </w:r>
          </w:p>
        </w:tc>
      </w:tr>
      <w:tr w:rsidR="00C825CD" w:rsidRPr="00341016" w:rsidTr="00B71F58">
        <w:trPr>
          <w:trHeight w:val="189"/>
        </w:trPr>
        <w:tc>
          <w:tcPr>
            <w:tcW w:w="426" w:type="dxa"/>
            <w:tcBorders>
              <w:top w:val="single" w:sz="2" w:space="0" w:color="000000"/>
              <w:left w:val="single" w:sz="2" w:space="0" w:color="000000"/>
              <w:bottom w:val="single" w:sz="2" w:space="0" w:color="000000"/>
              <w:right w:val="single" w:sz="2" w:space="0" w:color="000000"/>
            </w:tcBorders>
          </w:tcPr>
          <w:p w:rsidR="00C825CD" w:rsidRDefault="00C825CD" w:rsidP="00DB0F7B">
            <w:pPr>
              <w:pStyle w:val="Styledetableau2"/>
              <w:jc w:val="center"/>
              <w:rPr>
                <w:rFonts w:eastAsia="Arial Unicode MS" w:cs="Arial Unicode MS"/>
              </w:rPr>
            </w:pPr>
            <w:r>
              <w:rPr>
                <w:rFonts w:eastAsia="Arial Unicode MS" w:cs="Arial Unicode MS"/>
              </w:rPr>
              <w:t>G</w:t>
            </w:r>
          </w:p>
        </w:tc>
        <w:tc>
          <w:tcPr>
            <w:tcW w:w="3544"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3A461B" w:rsidRDefault="00C825CD" w:rsidP="00C825CD">
            <w:pPr>
              <w:pStyle w:val="Styledetableau2"/>
              <w:rPr>
                <w:color w:val="000000" w:themeColor="text1"/>
              </w:rPr>
            </w:pPr>
            <w:r w:rsidRPr="003A461B">
              <w:rPr>
                <w:rFonts w:eastAsia="Arial Unicode MS" w:cs="Arial Unicode MS"/>
                <w:color w:val="000000" w:themeColor="text1"/>
              </w:rPr>
              <w:t xml:space="preserve">Logement : Mobiliser des fonds et des compétences </w:t>
            </w:r>
          </w:p>
        </w:tc>
        <w:tc>
          <w:tcPr>
            <w:tcW w:w="7087"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3A461B" w:rsidRDefault="00C825CD" w:rsidP="00C825CD">
            <w:pPr>
              <w:pStyle w:val="Styledetableau2"/>
              <w:rPr>
                <w:color w:val="000000" w:themeColor="text1"/>
              </w:rPr>
            </w:pPr>
            <w:r w:rsidRPr="003A461B">
              <w:rPr>
                <w:rFonts w:eastAsia="Arial Unicode MS" w:cs="Arial Unicode MS"/>
                <w:color w:val="000000" w:themeColor="text1"/>
              </w:rPr>
              <w:t xml:space="preserve">Comme il s’agit de créer des logements locatifs par les pouvoirs publics en grand nombre, des réserves du Fonds de </w:t>
            </w:r>
            <w:r w:rsidR="00414E87" w:rsidRPr="003A461B">
              <w:rPr>
                <w:rFonts w:eastAsia="Arial Unicode MS" w:cs="Arial Unicode MS"/>
                <w:color w:val="000000" w:themeColor="text1"/>
              </w:rPr>
              <w:t>compensation</w:t>
            </w:r>
            <w:r w:rsidRPr="003A461B">
              <w:rPr>
                <w:rFonts w:eastAsia="Arial Unicode MS" w:cs="Arial Unicode MS"/>
                <w:color w:val="000000" w:themeColor="text1"/>
              </w:rPr>
              <w:t xml:space="preserve"> </w:t>
            </w:r>
            <w:r w:rsidR="001958ED" w:rsidRPr="003A461B">
              <w:rPr>
                <w:rFonts w:eastAsia="Arial Unicode MS" w:cs="Arial Unicode MS"/>
                <w:color w:val="000000" w:themeColor="text1"/>
              </w:rPr>
              <w:t>doivent</w:t>
            </w:r>
            <w:r w:rsidRPr="003A461B">
              <w:rPr>
                <w:rFonts w:eastAsia="Arial Unicode MS" w:cs="Arial Unicode MS"/>
                <w:color w:val="000000" w:themeColor="text1"/>
              </w:rPr>
              <w:t xml:space="preserve"> être mobilisés et les communes dotées de </w:t>
            </w:r>
            <w:r w:rsidR="00DB0F7B" w:rsidRPr="003A461B">
              <w:rPr>
                <w:rFonts w:eastAsia="Arial Unicode MS" w:cs="Arial Unicode MS"/>
                <w:color w:val="000000" w:themeColor="text1"/>
              </w:rPr>
              <w:t>compétences</w:t>
            </w:r>
            <w:r w:rsidR="00B60BFE" w:rsidRPr="003A461B">
              <w:rPr>
                <w:rFonts w:eastAsia="Arial Unicode MS" w:cs="Arial Unicode MS"/>
                <w:color w:val="000000" w:themeColor="text1"/>
              </w:rPr>
              <w:t xml:space="preserve"> </w:t>
            </w:r>
            <w:r w:rsidR="00986701" w:rsidRPr="003A461B">
              <w:rPr>
                <w:rFonts w:eastAsia="Arial Unicode MS" w:cs="Arial Unicode MS"/>
                <w:color w:val="000000" w:themeColor="text1"/>
              </w:rPr>
              <w:t xml:space="preserve">respectivement de support </w:t>
            </w:r>
            <w:r w:rsidRPr="003A461B">
              <w:rPr>
                <w:rFonts w:eastAsia="Arial Unicode MS" w:cs="Arial Unicode MS"/>
                <w:color w:val="000000" w:themeColor="text1"/>
              </w:rPr>
              <w:t xml:space="preserve"> pour </w:t>
            </w:r>
            <w:r w:rsidR="00DB0F7B" w:rsidRPr="003A461B">
              <w:rPr>
                <w:rFonts w:eastAsia="Arial Unicode MS" w:cs="Arial Unicode MS"/>
                <w:color w:val="000000" w:themeColor="text1"/>
              </w:rPr>
              <w:t xml:space="preserve">assurer la </w:t>
            </w:r>
            <w:r w:rsidRPr="003A461B">
              <w:rPr>
                <w:rFonts w:eastAsia="Arial Unicode MS" w:cs="Arial Unicode MS"/>
                <w:color w:val="000000" w:themeColor="text1"/>
              </w:rPr>
              <w:t>constru</w:t>
            </w:r>
            <w:r w:rsidR="00DB0F7B" w:rsidRPr="003A461B">
              <w:rPr>
                <w:rFonts w:eastAsia="Arial Unicode MS" w:cs="Arial Unicode MS"/>
                <w:color w:val="000000" w:themeColor="text1"/>
              </w:rPr>
              <w:t>ction</w:t>
            </w:r>
            <w:r w:rsidR="00986701" w:rsidRPr="003A461B">
              <w:rPr>
                <w:rFonts w:eastAsia="Arial Unicode MS" w:cs="Arial Unicode MS"/>
                <w:color w:val="000000" w:themeColor="text1"/>
              </w:rPr>
              <w:t xml:space="preserve">. </w:t>
            </w:r>
          </w:p>
        </w:tc>
        <w:tc>
          <w:tcPr>
            <w:tcW w:w="3686"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DB6E86" w:rsidRDefault="00420304" w:rsidP="00C825CD">
            <w:pPr>
              <w:rPr>
                <w:rFonts w:asciiTheme="majorHAnsi" w:hAnsiTheme="majorHAnsi"/>
                <w:sz w:val="20"/>
                <w:szCs w:val="20"/>
                <w:lang w:val="fr-LU"/>
              </w:rPr>
            </w:pPr>
            <w:r w:rsidRPr="00DB6E86">
              <w:rPr>
                <w:rFonts w:asciiTheme="majorHAnsi" w:hAnsiTheme="majorHAnsi"/>
                <w:sz w:val="20"/>
                <w:szCs w:val="20"/>
                <w:lang w:val="fr-LU"/>
              </w:rPr>
              <w:t>7. Logement, Communes</w:t>
            </w:r>
          </w:p>
        </w:tc>
      </w:tr>
      <w:tr w:rsidR="00EC49AB" w:rsidRPr="00341016" w:rsidTr="00820B32">
        <w:trPr>
          <w:trHeight w:val="189"/>
        </w:trPr>
        <w:tc>
          <w:tcPr>
            <w:tcW w:w="426" w:type="dxa"/>
            <w:tcBorders>
              <w:top w:val="single" w:sz="2" w:space="0" w:color="000000"/>
              <w:left w:val="single" w:sz="2" w:space="0" w:color="000000"/>
              <w:bottom w:val="single" w:sz="2" w:space="0" w:color="000000"/>
              <w:right w:val="single" w:sz="2" w:space="0" w:color="000000"/>
            </w:tcBorders>
          </w:tcPr>
          <w:p w:rsidR="00EC49AB" w:rsidRDefault="00EC49AB" w:rsidP="00DB0F7B">
            <w:pPr>
              <w:pStyle w:val="Styledetableau2"/>
              <w:jc w:val="center"/>
              <w:rPr>
                <w:rFonts w:eastAsia="Arial Unicode MS" w:cs="Arial Unicode MS"/>
              </w:rPr>
            </w:pPr>
            <w:r>
              <w:rPr>
                <w:rFonts w:eastAsia="Arial Unicode MS" w:cs="Arial Unicode MS"/>
              </w:rPr>
              <w:t>H</w:t>
            </w:r>
          </w:p>
        </w:tc>
        <w:tc>
          <w:tcPr>
            <w:tcW w:w="3544"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EC49AB" w:rsidRPr="003A461B" w:rsidRDefault="0036171F" w:rsidP="00C825CD">
            <w:pPr>
              <w:pStyle w:val="Styledetableau2"/>
              <w:rPr>
                <w:rFonts w:eastAsia="Arial Unicode MS" w:cs="Arial Unicode MS"/>
                <w:color w:val="000000" w:themeColor="text1"/>
              </w:rPr>
            </w:pPr>
            <w:r w:rsidRPr="003A461B">
              <w:rPr>
                <w:rFonts w:eastAsia="Arial Unicode MS" w:cs="Arial Unicode MS"/>
                <w:color w:val="000000" w:themeColor="text1"/>
              </w:rPr>
              <w:t>Soutien financier aux familles d’accueil</w:t>
            </w:r>
          </w:p>
        </w:tc>
        <w:tc>
          <w:tcPr>
            <w:tcW w:w="7087"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EC49AB" w:rsidRPr="003A461B" w:rsidRDefault="001C1843" w:rsidP="00C825CD">
            <w:pPr>
              <w:pStyle w:val="Styledetableau2"/>
              <w:rPr>
                <w:rFonts w:eastAsia="Arial Unicode MS" w:cs="Arial Unicode MS"/>
                <w:color w:val="000000" w:themeColor="text1"/>
              </w:rPr>
            </w:pPr>
            <w:r w:rsidRPr="003A461B">
              <w:rPr>
                <w:rFonts w:eastAsia="Arial Unicode MS" w:cs="Arial Unicode MS"/>
                <w:color w:val="000000" w:themeColor="text1"/>
              </w:rPr>
              <w:t xml:space="preserve">L’accueil dans des familles de sans abri, dpi, bpi </w:t>
            </w:r>
            <w:r w:rsidR="00E53847" w:rsidRPr="003A461B">
              <w:rPr>
                <w:rFonts w:eastAsia="Arial Unicode MS" w:cs="Arial Unicode MS"/>
                <w:color w:val="000000" w:themeColor="text1"/>
              </w:rPr>
              <w:t xml:space="preserve">ou autres personnes vulnérables </w:t>
            </w:r>
            <w:r w:rsidR="00B71F58" w:rsidRPr="003A461B">
              <w:rPr>
                <w:rFonts w:eastAsia="Arial Unicode MS" w:cs="Arial Unicode MS"/>
                <w:color w:val="000000" w:themeColor="text1"/>
              </w:rPr>
              <w:t xml:space="preserve">mérite un appui. </w:t>
            </w:r>
          </w:p>
        </w:tc>
        <w:tc>
          <w:tcPr>
            <w:tcW w:w="3686"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EC49AB" w:rsidRPr="002B469F" w:rsidRDefault="001C1843" w:rsidP="00C825CD">
            <w:pPr>
              <w:rPr>
                <w:rFonts w:asciiTheme="majorHAnsi" w:hAnsiTheme="majorHAnsi"/>
                <w:sz w:val="20"/>
                <w:szCs w:val="20"/>
                <w:lang w:val="fr-LU"/>
              </w:rPr>
            </w:pPr>
            <w:r w:rsidRPr="002B469F">
              <w:rPr>
                <w:rFonts w:asciiTheme="majorHAnsi" w:hAnsiTheme="majorHAnsi" w:cs="Arial Unicode MS"/>
                <w:sz w:val="20"/>
                <w:szCs w:val="20"/>
              </w:rPr>
              <w:t>3. Famille</w:t>
            </w:r>
          </w:p>
        </w:tc>
      </w:tr>
      <w:tr w:rsidR="00C825CD" w:rsidRPr="007A23C4" w:rsidTr="00B71F58">
        <w:trPr>
          <w:trHeight w:val="306"/>
        </w:trPr>
        <w:tc>
          <w:tcPr>
            <w:tcW w:w="426" w:type="dxa"/>
            <w:tcBorders>
              <w:top w:val="single" w:sz="2" w:space="0" w:color="000000"/>
              <w:left w:val="single" w:sz="2" w:space="0" w:color="000000"/>
              <w:bottom w:val="single" w:sz="2" w:space="0" w:color="000000"/>
              <w:right w:val="single" w:sz="2" w:space="0" w:color="000000"/>
            </w:tcBorders>
          </w:tcPr>
          <w:p w:rsidR="00C825CD" w:rsidRDefault="0036171F" w:rsidP="00DB0F7B">
            <w:pPr>
              <w:pStyle w:val="Styledetableau2"/>
              <w:jc w:val="center"/>
              <w:rPr>
                <w:rFonts w:eastAsia="Arial Unicode MS" w:cs="Arial Unicode MS"/>
              </w:rPr>
            </w:pPr>
            <w:r>
              <w:rPr>
                <w:rFonts w:eastAsia="Arial Unicode MS" w:cs="Arial Unicode MS"/>
              </w:rPr>
              <w:t>I</w:t>
            </w:r>
          </w:p>
        </w:tc>
        <w:tc>
          <w:tcPr>
            <w:tcW w:w="3544"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3A461B" w:rsidRDefault="00C825CD" w:rsidP="00C825CD">
            <w:pPr>
              <w:pStyle w:val="Styledetableau2"/>
              <w:rPr>
                <w:color w:val="000000" w:themeColor="text1"/>
              </w:rPr>
            </w:pPr>
            <w:r w:rsidRPr="003A461B">
              <w:rPr>
                <w:rFonts w:eastAsia="Arial Unicode MS" w:cs="Arial Unicode MS"/>
                <w:color w:val="000000" w:themeColor="text1"/>
              </w:rPr>
              <w:t>Un</w:t>
            </w:r>
            <w:r w:rsidR="009B2392" w:rsidRPr="003A461B">
              <w:rPr>
                <w:rFonts w:eastAsia="Arial Unicode MS" w:cs="Arial Unicode MS"/>
                <w:color w:val="000000" w:themeColor="text1"/>
              </w:rPr>
              <w:t> </w:t>
            </w:r>
            <w:r w:rsidR="0036171F" w:rsidRPr="003A461B">
              <w:rPr>
                <w:rFonts w:eastAsia="Arial Unicode MS" w:cs="Arial Unicode MS"/>
                <w:color w:val="000000" w:themeColor="text1"/>
              </w:rPr>
              <w:t>l</w:t>
            </w:r>
            <w:r w:rsidRPr="003A461B">
              <w:rPr>
                <w:rFonts w:eastAsia="Arial Unicode MS" w:cs="Arial Unicode MS"/>
                <w:color w:val="000000" w:themeColor="text1"/>
              </w:rPr>
              <w:t xml:space="preserve">ead pour l’intégration </w:t>
            </w:r>
          </w:p>
        </w:tc>
        <w:tc>
          <w:tcPr>
            <w:tcW w:w="7087"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3A461B" w:rsidRDefault="00C825CD" w:rsidP="00C825CD">
            <w:pPr>
              <w:pStyle w:val="Styledetableau2"/>
              <w:rPr>
                <w:color w:val="000000" w:themeColor="text1"/>
              </w:rPr>
            </w:pPr>
            <w:r w:rsidRPr="003A461B">
              <w:rPr>
                <w:rFonts w:eastAsia="Arial Unicode MS" w:cs="Arial Unicode MS"/>
                <w:color w:val="000000" w:themeColor="text1"/>
              </w:rPr>
              <w:t xml:space="preserve">Le groupe de travail interministériel augmenté des partenaires sociaux et de la société civile </w:t>
            </w:r>
          </w:p>
        </w:tc>
        <w:tc>
          <w:tcPr>
            <w:tcW w:w="3686" w:type="dxa"/>
            <w:tcBorders>
              <w:top w:val="single" w:sz="2" w:space="0" w:color="000000"/>
              <w:left w:val="single" w:sz="2" w:space="0" w:color="000000"/>
              <w:bottom w:val="single" w:sz="2" w:space="0" w:color="000000"/>
              <w:right w:val="single" w:sz="2" w:space="0" w:color="000000"/>
            </w:tcBorders>
            <w:shd w:val="clear" w:color="auto" w:fill="FBDEED" w:themeFill="accent6" w:themeFillTint="33"/>
            <w:tcMar>
              <w:top w:w="80" w:type="dxa"/>
              <w:left w:w="80" w:type="dxa"/>
              <w:bottom w:w="80" w:type="dxa"/>
              <w:right w:w="80" w:type="dxa"/>
            </w:tcMar>
          </w:tcPr>
          <w:p w:rsidR="00C825CD" w:rsidRPr="00DB6E86" w:rsidRDefault="00C825CD" w:rsidP="00C825CD">
            <w:pPr>
              <w:pStyle w:val="Styledetableau2"/>
              <w:rPr>
                <w:rFonts w:asciiTheme="majorHAnsi" w:hAnsiTheme="majorHAnsi"/>
              </w:rPr>
            </w:pPr>
            <w:r w:rsidRPr="00DB6E86">
              <w:rPr>
                <w:rFonts w:asciiTheme="majorHAnsi" w:eastAsia="Arial Unicode MS" w:hAnsiTheme="majorHAnsi" w:cs="Arial Unicode MS"/>
              </w:rPr>
              <w:t xml:space="preserve">Organisation et structure du gouvernement </w:t>
            </w:r>
          </w:p>
        </w:tc>
      </w:tr>
    </w:tbl>
    <w:p w:rsidR="00063450" w:rsidRDefault="00063450">
      <w:pPr>
        <w:pStyle w:val="Corps"/>
      </w:pPr>
    </w:p>
    <w:p w:rsidR="00063450" w:rsidRDefault="00063450">
      <w:pPr>
        <w:pStyle w:val="Corps"/>
      </w:pPr>
    </w:p>
    <w:p w:rsidR="000405D7" w:rsidRPr="00BF5CE9" w:rsidRDefault="000405D7" w:rsidP="00A456CC">
      <w:pPr>
        <w:pStyle w:val="Corps"/>
        <w:numPr>
          <w:ilvl w:val="0"/>
          <w:numId w:val="3"/>
        </w:numPr>
        <w:rPr>
          <w:rFonts w:asciiTheme="minorHAnsi" w:hAnsiTheme="minorHAnsi"/>
          <w:b/>
          <w:highlight w:val="yellow"/>
        </w:rPr>
      </w:pPr>
      <w:r w:rsidRPr="00BF5CE9">
        <w:rPr>
          <w:rFonts w:asciiTheme="minorHAnsi" w:hAnsiTheme="minorHAnsi"/>
          <w:b/>
          <w:highlight w:val="yellow"/>
        </w:rPr>
        <w:lastRenderedPageBreak/>
        <w:t>Accès rapide au travail</w:t>
      </w:r>
    </w:p>
    <w:p w:rsidR="00DA5863" w:rsidRPr="00BF5CE9" w:rsidRDefault="0017399D" w:rsidP="00DA5863">
      <w:pPr>
        <w:pStyle w:val="Corps"/>
        <w:ind w:left="720"/>
        <w:rPr>
          <w:rFonts w:asciiTheme="minorHAnsi" w:hAnsiTheme="minorHAnsi"/>
        </w:rPr>
      </w:pPr>
      <w:r w:rsidRPr="00BF5CE9">
        <w:rPr>
          <w:rFonts w:asciiTheme="minorHAnsi" w:hAnsiTheme="minorHAnsi"/>
        </w:rPr>
        <w:t>L’i</w:t>
      </w:r>
      <w:r w:rsidR="0033517F" w:rsidRPr="00BF5CE9">
        <w:rPr>
          <w:rFonts w:asciiTheme="minorHAnsi" w:hAnsiTheme="minorHAnsi"/>
        </w:rPr>
        <w:t>n</w:t>
      </w:r>
      <w:r w:rsidRPr="00BF5CE9">
        <w:rPr>
          <w:rFonts w:asciiTheme="minorHAnsi" w:hAnsiTheme="minorHAnsi"/>
        </w:rPr>
        <w:t xml:space="preserve">action </w:t>
      </w:r>
      <w:r w:rsidR="0033517F" w:rsidRPr="00BF5CE9">
        <w:rPr>
          <w:rFonts w:asciiTheme="minorHAnsi" w:hAnsiTheme="minorHAnsi"/>
        </w:rPr>
        <w:t xml:space="preserve">pèse sur les dpi, leur permettre un accès rapide au marché du travail est essentiel, la formule des Autorisations d’Occupation Temporaire (AOT) doit être revue et </w:t>
      </w:r>
      <w:r w:rsidR="000405D7" w:rsidRPr="00BF5CE9">
        <w:rPr>
          <w:rFonts w:asciiTheme="minorHAnsi" w:hAnsiTheme="minorHAnsi"/>
        </w:rPr>
        <w:t>simplifiés</w:t>
      </w:r>
      <w:r w:rsidR="00872B63">
        <w:rPr>
          <w:rFonts w:asciiTheme="minorHAnsi" w:hAnsiTheme="minorHAnsi"/>
        </w:rPr>
        <w:t>, la possibilité des stages élargie</w:t>
      </w:r>
      <w:r w:rsidR="00DA5863">
        <w:rPr>
          <w:rFonts w:asciiTheme="minorHAnsi" w:hAnsiTheme="minorHAnsi"/>
        </w:rPr>
        <w:t xml:space="preserve">. Et cela doit fonctionner ! Il y a des secteurs déficitaires, pourquoi ne pas « en profiter » ? Les candidats se heurtent </w:t>
      </w:r>
      <w:proofErr w:type="gramStart"/>
      <w:r w:rsidR="00DA5863">
        <w:rPr>
          <w:rFonts w:asciiTheme="minorHAnsi" w:hAnsiTheme="minorHAnsi"/>
        </w:rPr>
        <w:t>à la préférence européennes</w:t>
      </w:r>
      <w:proofErr w:type="gramEnd"/>
      <w:r w:rsidR="00DA5863">
        <w:rPr>
          <w:rFonts w:asciiTheme="minorHAnsi" w:hAnsiTheme="minorHAnsi"/>
        </w:rPr>
        <w:t xml:space="preserve"> et aux potentiels candidats inscrits à l’ADEM qui ne veulent pas ces jobs…pourtant l’ADEM ne délivre pas l’accord</w:t>
      </w:r>
    </w:p>
    <w:p w:rsidR="00A456CC" w:rsidRPr="00BF5CE9" w:rsidRDefault="00A456CC" w:rsidP="00111249">
      <w:pPr>
        <w:pStyle w:val="Corps"/>
        <w:rPr>
          <w:rFonts w:asciiTheme="minorHAnsi" w:hAnsiTheme="minorHAnsi"/>
        </w:rPr>
      </w:pPr>
    </w:p>
    <w:p w:rsidR="00111249" w:rsidRPr="00BF5CE9" w:rsidRDefault="004D4000" w:rsidP="00A456CC">
      <w:pPr>
        <w:pStyle w:val="Corps"/>
        <w:numPr>
          <w:ilvl w:val="0"/>
          <w:numId w:val="3"/>
        </w:numPr>
        <w:rPr>
          <w:rFonts w:asciiTheme="minorHAnsi" w:hAnsiTheme="minorHAnsi"/>
          <w:b/>
          <w:highlight w:val="yellow"/>
        </w:rPr>
      </w:pPr>
      <w:r>
        <w:rPr>
          <w:rFonts w:asciiTheme="minorHAnsi" w:hAnsiTheme="minorHAnsi"/>
          <w:b/>
          <w:highlight w:val="yellow"/>
        </w:rPr>
        <w:t xml:space="preserve">Bilan </w:t>
      </w:r>
      <w:r w:rsidR="00111249" w:rsidRPr="00BF5CE9">
        <w:rPr>
          <w:rFonts w:asciiTheme="minorHAnsi" w:hAnsiTheme="minorHAnsi"/>
          <w:b/>
          <w:highlight w:val="yellow"/>
        </w:rPr>
        <w:t xml:space="preserve">de compétences </w:t>
      </w:r>
    </w:p>
    <w:p w:rsidR="004D4000" w:rsidRPr="003A461B" w:rsidRDefault="00111249" w:rsidP="0014173D">
      <w:pPr>
        <w:pStyle w:val="Corps"/>
        <w:ind w:left="720"/>
        <w:rPr>
          <w:rFonts w:asciiTheme="minorHAnsi" w:hAnsiTheme="minorHAnsi"/>
          <w:color w:val="000000" w:themeColor="text1"/>
        </w:rPr>
      </w:pPr>
      <w:r w:rsidRPr="00BF5CE9">
        <w:rPr>
          <w:rFonts w:asciiTheme="minorHAnsi" w:hAnsiTheme="minorHAnsi"/>
        </w:rPr>
        <w:t>Plutôt que d’attendre la fin de la procédure avant de connaitre les compétences</w:t>
      </w:r>
      <w:r w:rsidR="00992C21" w:rsidRPr="00BF5CE9">
        <w:rPr>
          <w:rFonts w:asciiTheme="minorHAnsi" w:hAnsiTheme="minorHAnsi"/>
        </w:rPr>
        <w:t xml:space="preserve"> des </w:t>
      </w:r>
      <w:proofErr w:type="gramStart"/>
      <w:r w:rsidR="00992C21" w:rsidRPr="00BF5CE9">
        <w:rPr>
          <w:rFonts w:asciiTheme="minorHAnsi" w:hAnsiTheme="minorHAnsi"/>
        </w:rPr>
        <w:t xml:space="preserve">dpi, </w:t>
      </w:r>
      <w:r w:rsidRPr="00BF5CE9">
        <w:rPr>
          <w:rFonts w:asciiTheme="minorHAnsi" w:hAnsiTheme="minorHAnsi"/>
        </w:rPr>
        <w:t xml:space="preserve"> autant</w:t>
      </w:r>
      <w:proofErr w:type="gramEnd"/>
      <w:r w:rsidRPr="00BF5CE9">
        <w:rPr>
          <w:rFonts w:asciiTheme="minorHAnsi" w:hAnsiTheme="minorHAnsi"/>
        </w:rPr>
        <w:t xml:space="preserve"> les </w:t>
      </w:r>
      <w:r w:rsidR="00992C21" w:rsidRPr="00BF5CE9">
        <w:rPr>
          <w:rFonts w:asciiTheme="minorHAnsi" w:hAnsiTheme="minorHAnsi"/>
        </w:rPr>
        <w:t>connaitre rapidement</w:t>
      </w:r>
      <w:r w:rsidR="004D4000">
        <w:rPr>
          <w:rFonts w:asciiTheme="minorHAnsi" w:hAnsiTheme="minorHAnsi"/>
        </w:rPr>
        <w:t xml:space="preserve">. </w:t>
      </w:r>
      <w:r w:rsidR="004D4000" w:rsidRPr="003A461B">
        <w:rPr>
          <w:rFonts w:asciiTheme="minorHAnsi" w:hAnsiTheme="minorHAnsi"/>
          <w:color w:val="000000" w:themeColor="text1"/>
        </w:rPr>
        <w:t>Il s’agit de faire une analyse des savoirs</w:t>
      </w:r>
      <w:r w:rsidR="00480346" w:rsidRPr="003A461B">
        <w:rPr>
          <w:rFonts w:asciiTheme="minorHAnsi" w:hAnsiTheme="minorHAnsi"/>
          <w:color w:val="000000" w:themeColor="text1"/>
        </w:rPr>
        <w:t>, aptitudes et compétences, y compris ses motivations afin de définir un projet professionnnel</w:t>
      </w:r>
      <w:r w:rsidR="0014173D" w:rsidRPr="003A461B">
        <w:rPr>
          <w:rFonts w:asciiTheme="minorHAnsi" w:hAnsiTheme="minorHAnsi"/>
          <w:color w:val="000000" w:themeColor="text1"/>
        </w:rPr>
        <w:t xml:space="preserve">. Le bialn a pour vocation </w:t>
      </w:r>
      <w:r w:rsidR="004D4000" w:rsidRPr="003A461B">
        <w:rPr>
          <w:rFonts w:ascii="ArialMT" w:hAnsi="ArialMT"/>
          <w:color w:val="000000" w:themeColor="text1"/>
          <w:sz w:val="20"/>
          <w:szCs w:val="20"/>
        </w:rPr>
        <w:t xml:space="preserve">d'aider lʼindividu </w:t>
      </w:r>
      <w:r w:rsidR="0014173D" w:rsidRPr="003A461B">
        <w:rPr>
          <w:rFonts w:ascii="ArialMT" w:hAnsi="ArialMT"/>
          <w:color w:val="000000" w:themeColor="text1"/>
          <w:sz w:val="20"/>
          <w:szCs w:val="20"/>
        </w:rPr>
        <w:t xml:space="preserve">à </w:t>
      </w:r>
      <w:r w:rsidR="004D4000" w:rsidRPr="003A461B">
        <w:rPr>
          <w:rFonts w:ascii="ArialMT" w:hAnsi="ArialMT"/>
          <w:color w:val="000000" w:themeColor="text1"/>
          <w:sz w:val="20"/>
          <w:szCs w:val="20"/>
        </w:rPr>
        <w:t xml:space="preserve">analyser son parcours </w:t>
      </w:r>
      <w:proofErr w:type="gramStart"/>
      <w:r w:rsidR="004D4000" w:rsidRPr="003A461B">
        <w:rPr>
          <w:rFonts w:ascii="ArialMT" w:hAnsi="ArialMT"/>
          <w:color w:val="000000" w:themeColor="text1"/>
          <w:sz w:val="20"/>
          <w:szCs w:val="20"/>
        </w:rPr>
        <w:t>passé,se</w:t>
      </w:r>
      <w:proofErr w:type="gramEnd"/>
      <w:r w:rsidR="004D4000" w:rsidRPr="003A461B">
        <w:rPr>
          <w:rFonts w:ascii="ArialMT" w:hAnsi="ArialMT"/>
          <w:color w:val="000000" w:themeColor="text1"/>
          <w:sz w:val="20"/>
          <w:szCs w:val="20"/>
        </w:rPr>
        <w:t xml:space="preserve"> situer dans le monde du travail,</w:t>
      </w:r>
      <w:r w:rsidR="0014173D" w:rsidRPr="003A461B">
        <w:rPr>
          <w:rFonts w:ascii="ArialMT" w:hAnsi="ArialMT"/>
          <w:color w:val="000000" w:themeColor="text1"/>
          <w:sz w:val="20"/>
          <w:szCs w:val="20"/>
        </w:rPr>
        <w:t xml:space="preserve"> </w:t>
      </w:r>
      <w:r w:rsidR="004D4000" w:rsidRPr="003A461B">
        <w:rPr>
          <w:rFonts w:ascii="ArialMT" w:hAnsi="ArialMT"/>
          <w:color w:val="000000" w:themeColor="text1"/>
          <w:sz w:val="20"/>
          <w:szCs w:val="20"/>
        </w:rPr>
        <w:t>se préparer en vue de la validation des résultats/acquis dʼapprentissage non formel et informel</w:t>
      </w:r>
      <w:r w:rsidR="0014173D" w:rsidRPr="003A461B">
        <w:rPr>
          <w:rFonts w:ascii="ArialMT" w:hAnsi="ArialMT"/>
          <w:color w:val="000000" w:themeColor="text1"/>
          <w:sz w:val="20"/>
          <w:szCs w:val="20"/>
        </w:rPr>
        <w:t>.</w:t>
      </w:r>
    </w:p>
    <w:p w:rsidR="00111249" w:rsidRPr="00BF5CE9" w:rsidRDefault="00111249" w:rsidP="0014173D">
      <w:pPr>
        <w:pStyle w:val="Corps"/>
        <w:rPr>
          <w:rFonts w:asciiTheme="minorHAnsi" w:hAnsiTheme="minorHAnsi"/>
        </w:rPr>
      </w:pPr>
    </w:p>
    <w:p w:rsidR="00111249" w:rsidRPr="00BF5CE9" w:rsidRDefault="00CF77A3" w:rsidP="00A456CC">
      <w:pPr>
        <w:pStyle w:val="Corps"/>
        <w:numPr>
          <w:ilvl w:val="0"/>
          <w:numId w:val="3"/>
        </w:numPr>
        <w:rPr>
          <w:rFonts w:asciiTheme="minorHAnsi" w:hAnsiTheme="minorHAnsi"/>
          <w:b/>
          <w:highlight w:val="yellow"/>
        </w:rPr>
      </w:pPr>
      <w:r w:rsidRPr="00BF5CE9">
        <w:rPr>
          <w:rFonts w:asciiTheme="minorHAnsi" w:hAnsiTheme="minorHAnsi"/>
          <w:b/>
          <w:highlight w:val="yellow"/>
        </w:rPr>
        <w:t>Durée de la procédure des dpi</w:t>
      </w:r>
    </w:p>
    <w:p w:rsidR="00CF77A3" w:rsidRPr="00BF5CE9" w:rsidRDefault="00CF77A3" w:rsidP="00CF77A3">
      <w:pPr>
        <w:pStyle w:val="Corps"/>
        <w:ind w:left="720"/>
        <w:rPr>
          <w:rFonts w:asciiTheme="minorHAnsi" w:hAnsiTheme="minorHAnsi"/>
        </w:rPr>
      </w:pPr>
      <w:r w:rsidRPr="00BF5CE9">
        <w:rPr>
          <w:rFonts w:asciiTheme="minorHAnsi" w:hAnsiTheme="minorHAnsi"/>
        </w:rPr>
        <w:t xml:space="preserve">La loi prévoit une décision </w:t>
      </w:r>
      <w:r w:rsidR="005260CD" w:rsidRPr="00BF5CE9">
        <w:rPr>
          <w:rFonts w:asciiTheme="minorHAnsi" w:hAnsiTheme="minorHAnsi"/>
        </w:rPr>
        <w:t>q</w:t>
      </w:r>
      <w:r w:rsidRPr="00BF5CE9">
        <w:rPr>
          <w:rFonts w:asciiTheme="minorHAnsi" w:hAnsiTheme="minorHAnsi"/>
        </w:rPr>
        <w:t xml:space="preserve">uant à l’octroi ou refus du statut </w:t>
      </w:r>
      <w:r w:rsidR="005260CD" w:rsidRPr="00BF5CE9">
        <w:rPr>
          <w:rFonts w:asciiTheme="minorHAnsi" w:hAnsiTheme="minorHAnsi"/>
        </w:rPr>
        <w:t xml:space="preserve">endéans 6 mois, sauf exceptions. Les exceptions ont tendance à devenir la règle. Pour satisfaire à la loi, il faut augmenter les ressources humaines de la Direction de l’Immigration.  Cf D </w:t>
      </w:r>
    </w:p>
    <w:p w:rsidR="00A456CC" w:rsidRPr="00BF5CE9" w:rsidRDefault="00A456CC" w:rsidP="00A456CC">
      <w:pPr>
        <w:pStyle w:val="Corps"/>
        <w:rPr>
          <w:rFonts w:asciiTheme="minorHAnsi" w:hAnsiTheme="minorHAnsi"/>
        </w:rPr>
      </w:pPr>
      <w:r w:rsidRPr="00BF5CE9">
        <w:rPr>
          <w:rFonts w:asciiTheme="minorHAnsi" w:hAnsiTheme="minorHAnsi"/>
        </w:rPr>
        <w:t xml:space="preserve"> </w:t>
      </w:r>
    </w:p>
    <w:p w:rsidR="00A456CC" w:rsidRPr="00342AAF" w:rsidRDefault="00342AAF" w:rsidP="005260CD">
      <w:pPr>
        <w:pStyle w:val="Corps"/>
        <w:numPr>
          <w:ilvl w:val="0"/>
          <w:numId w:val="3"/>
        </w:numPr>
        <w:rPr>
          <w:rFonts w:asciiTheme="minorHAnsi" w:hAnsiTheme="minorHAnsi"/>
          <w:b/>
          <w:highlight w:val="yellow"/>
          <w:lang w:val="fr-LU"/>
        </w:rPr>
      </w:pPr>
      <w:r>
        <w:rPr>
          <w:rFonts w:asciiTheme="minorHAnsi" w:hAnsiTheme="minorHAnsi"/>
          <w:b/>
          <w:bCs/>
          <w:highlight w:val="yellow"/>
          <w:lang w:val="fr-LU"/>
        </w:rPr>
        <w:t xml:space="preserve">Détection des vulnérabilités et traumatismes </w:t>
      </w:r>
    </w:p>
    <w:p w:rsidR="00342AAF" w:rsidRPr="00342AAF" w:rsidRDefault="00342AAF" w:rsidP="00342AAF">
      <w:pPr>
        <w:pStyle w:val="Styledetableau2"/>
        <w:ind w:left="720"/>
        <w:rPr>
          <w:rFonts w:eastAsia="Arial Unicode MS" w:cs="Arial Unicode MS"/>
          <w:color w:val="000000" w:themeColor="text1"/>
        </w:rPr>
      </w:pPr>
      <w:r w:rsidRPr="00342AAF">
        <w:rPr>
          <w:rFonts w:eastAsia="Arial Unicode MS" w:cs="Arial Unicode MS"/>
          <w:color w:val="000000" w:themeColor="text1"/>
        </w:rPr>
        <w:t xml:space="preserve">La durée et l’opacité de la procédure de prise en charge des DPI et de la procédure de prise en soins (détection, orientation, traitement), le manque de visibilité du dispositif de premier accueil et des filières de soins, de même que les conditions générales d’accueil ne permettent pas d’assurer la prévention primaire (risque de décompensation), font augmenter les traumatismes, et entrainent chez les DPI des craintes accrues face à des risques de rechutes. Il faut en assurer le soin dans la durée. </w:t>
      </w:r>
    </w:p>
    <w:p w:rsidR="00467E97" w:rsidRPr="00467E97" w:rsidRDefault="00342AAF" w:rsidP="00467E97">
      <w:pPr>
        <w:pStyle w:val="Corps"/>
        <w:ind w:left="720"/>
        <w:rPr>
          <w:rFonts w:asciiTheme="minorHAnsi" w:hAnsiTheme="minorHAnsi"/>
          <w:b/>
          <w:color w:val="000000" w:themeColor="text1"/>
          <w:highlight w:val="yellow"/>
          <w:lang w:val="fr-LU"/>
        </w:rPr>
      </w:pPr>
      <w:r w:rsidRPr="00342AAF">
        <w:rPr>
          <w:color w:val="000000" w:themeColor="text1"/>
        </w:rPr>
        <w:t>Les mesures préventives concernant les professionnels de santé exposés doivent être d’avantage développées.</w:t>
      </w:r>
    </w:p>
    <w:p w:rsidR="00342AAF" w:rsidRPr="00467E97" w:rsidRDefault="00467E97" w:rsidP="00467E97">
      <w:pPr>
        <w:pStyle w:val="Corps"/>
        <w:ind w:left="720"/>
        <w:rPr>
          <w:rFonts w:asciiTheme="minorHAnsi" w:hAnsiTheme="minorHAnsi"/>
          <w:b/>
          <w:lang w:val="fr-LU"/>
        </w:rPr>
      </w:pPr>
      <w:r w:rsidRPr="00467E97">
        <w:rPr>
          <w:rFonts w:asciiTheme="minorHAnsi" w:hAnsiTheme="minorHAnsi"/>
          <w:b/>
          <w:bCs/>
          <w:lang w:val="fr-LU"/>
        </w:rPr>
        <w:t>Facteurs de stress induit en phase postmigratoire</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séjour en structure d’accueil</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difficultés avec les administrations (barrières linguisticoculturelles)</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assignation du lieu de séjour</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limitation des mouvements</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absence d’autorisation de travail</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dépendance des prestations sociales</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défaut de perspectives d’avenir</w:t>
      </w:r>
    </w:p>
    <w:p w:rsidR="00A456CC" w:rsidRPr="00BF5CE9" w:rsidRDefault="00A456CC" w:rsidP="00A456CC">
      <w:pPr>
        <w:pStyle w:val="Corps"/>
        <w:numPr>
          <w:ilvl w:val="0"/>
          <w:numId w:val="1"/>
        </w:numPr>
        <w:rPr>
          <w:rFonts w:asciiTheme="minorHAnsi" w:hAnsiTheme="minorHAnsi"/>
          <w:lang w:val="fr-LU"/>
        </w:rPr>
      </w:pPr>
      <w:r w:rsidRPr="00BF5CE9">
        <w:rPr>
          <w:rFonts w:asciiTheme="minorHAnsi" w:hAnsiTheme="minorHAnsi"/>
          <w:lang w:val="fr-LU"/>
        </w:rPr>
        <w:t>menace d’expulsion (malgré une durée de séjour prolongée au pays d’accueil)</w:t>
      </w:r>
    </w:p>
    <w:p w:rsidR="00A456CC" w:rsidRPr="00BF5CE9" w:rsidRDefault="00A456CC" w:rsidP="00467E97">
      <w:pPr>
        <w:pStyle w:val="Corps"/>
        <w:ind w:left="720"/>
        <w:rPr>
          <w:rFonts w:asciiTheme="minorHAnsi" w:hAnsiTheme="minorHAnsi"/>
        </w:rPr>
      </w:pPr>
      <w:r w:rsidRPr="00BF5CE9">
        <w:rPr>
          <w:rFonts w:asciiTheme="minorHAnsi" w:hAnsiTheme="minorHAnsi"/>
          <w:lang w:val="fr-LU"/>
        </w:rPr>
        <w:t xml:space="preserve">Les facteurs postmigratoires, incluant la qualité de l’accueil et le support offert au pays  d’accueil, sont autant de </w:t>
      </w:r>
      <w:r w:rsidRPr="00964376">
        <w:rPr>
          <w:rFonts w:asciiTheme="minorHAnsi" w:hAnsiTheme="minorHAnsi"/>
          <w:lang w:val="fr-LU"/>
        </w:rPr>
        <w:t>prédicteurs</w:t>
      </w:r>
      <w:r w:rsidRPr="00BF5CE9">
        <w:rPr>
          <w:rFonts w:asciiTheme="minorHAnsi" w:hAnsiTheme="minorHAnsi"/>
          <w:lang w:val="fr-LU"/>
        </w:rPr>
        <w:t xml:space="preserve"> importants pour le pronostic à long terme</w:t>
      </w:r>
      <w:r w:rsidRPr="00BF5CE9">
        <w:rPr>
          <w:rFonts w:asciiTheme="minorHAnsi" w:hAnsiTheme="minorHAnsi"/>
        </w:rPr>
        <w:t>.</w:t>
      </w:r>
    </w:p>
    <w:p w:rsidR="005260CD" w:rsidRPr="00BF5CE9" w:rsidRDefault="005260CD" w:rsidP="00A456CC">
      <w:pPr>
        <w:pStyle w:val="Corps"/>
        <w:rPr>
          <w:rFonts w:asciiTheme="minorHAnsi" w:hAnsiTheme="minorHAnsi"/>
          <w:lang w:val="fr-LU"/>
        </w:rPr>
      </w:pPr>
    </w:p>
    <w:p w:rsidR="0029670B" w:rsidRDefault="003F706B" w:rsidP="00467E97">
      <w:pPr>
        <w:pStyle w:val="Corps"/>
        <w:ind w:left="720"/>
        <w:rPr>
          <w:highlight w:val="darkMagenta"/>
        </w:rPr>
      </w:pPr>
      <w:r w:rsidRPr="00BF5CE9">
        <w:rPr>
          <w:rFonts w:asciiTheme="minorHAnsi" w:hAnsiTheme="minorHAnsi"/>
          <w:i/>
          <w:lang w:val="fr-LU"/>
        </w:rPr>
        <w:t xml:space="preserve">Pour éviter l’aggravation des </w:t>
      </w:r>
      <w:r w:rsidR="00986701" w:rsidRPr="00566DB1">
        <w:rPr>
          <w:rFonts w:asciiTheme="minorHAnsi" w:hAnsiTheme="minorHAnsi"/>
          <w:i/>
          <w:color w:val="000000" w:themeColor="text1"/>
          <w:lang w:val="fr-LU"/>
        </w:rPr>
        <w:t xml:space="preserve">vulnérabilités et des </w:t>
      </w:r>
      <w:r w:rsidRPr="00BF5CE9">
        <w:rPr>
          <w:rFonts w:asciiTheme="minorHAnsi" w:hAnsiTheme="minorHAnsi"/>
          <w:i/>
          <w:lang w:val="fr-LU"/>
        </w:rPr>
        <w:t xml:space="preserve">traumatismes, il faut les détecter et soigner </w:t>
      </w:r>
      <w:r w:rsidR="00386ED0">
        <w:rPr>
          <w:rFonts w:asciiTheme="minorHAnsi" w:hAnsiTheme="minorHAnsi"/>
          <w:i/>
          <w:lang w:val="fr-LU"/>
        </w:rPr>
        <w:t>dès</w:t>
      </w:r>
      <w:r w:rsidRPr="00BF5CE9">
        <w:rPr>
          <w:rFonts w:asciiTheme="minorHAnsi" w:hAnsiTheme="minorHAnsi"/>
          <w:i/>
          <w:lang w:val="fr-LU"/>
        </w:rPr>
        <w:t xml:space="preserve"> l’arrivée et réduire la durée de la procédure</w:t>
      </w:r>
      <w:r w:rsidR="00386ED0">
        <w:rPr>
          <w:rFonts w:asciiTheme="minorHAnsi" w:hAnsiTheme="minorHAnsi"/>
          <w:i/>
          <w:lang w:val="fr-LU"/>
        </w:rPr>
        <w:t>.</w:t>
      </w:r>
      <w:r w:rsidRPr="00BF5CE9">
        <w:rPr>
          <w:rFonts w:asciiTheme="minorHAnsi" w:hAnsiTheme="minorHAnsi"/>
          <w:i/>
          <w:lang w:val="fr-LU"/>
        </w:rPr>
        <w:t xml:space="preserve"> </w:t>
      </w:r>
      <w:r w:rsidR="00DA5863">
        <w:rPr>
          <w:rFonts w:asciiTheme="minorHAnsi" w:hAnsiTheme="minorHAnsi"/>
        </w:rPr>
        <w:t>Il faut à cet effet un personnel qualifié</w:t>
      </w:r>
      <w:r w:rsidR="00467E97">
        <w:rPr>
          <w:rFonts w:asciiTheme="minorHAnsi" w:hAnsiTheme="minorHAnsi"/>
        </w:rPr>
        <w:t>.</w:t>
      </w:r>
    </w:p>
    <w:p w:rsidR="0029670B" w:rsidRDefault="0029670B" w:rsidP="00E24095">
      <w:pPr>
        <w:jc w:val="both"/>
        <w:rPr>
          <w:rFonts w:asciiTheme="minorHAnsi" w:hAnsiTheme="minorHAnsi"/>
          <w:b/>
          <w:color w:val="FFFFFF" w:themeColor="background1"/>
          <w:highlight w:val="darkMagenta"/>
          <w:lang w:val="fr-LU"/>
        </w:rPr>
      </w:pPr>
    </w:p>
    <w:p w:rsidR="00E719FE" w:rsidRPr="00467E97" w:rsidRDefault="00E719FE" w:rsidP="00467E97">
      <w:pPr>
        <w:pStyle w:val="Paragraphedeliste"/>
        <w:numPr>
          <w:ilvl w:val="0"/>
          <w:numId w:val="3"/>
        </w:numPr>
        <w:jc w:val="both"/>
        <w:rPr>
          <w:rFonts w:asciiTheme="minorHAnsi" w:hAnsiTheme="minorHAnsi"/>
          <w:b/>
          <w:color w:val="FFFFFF" w:themeColor="background1"/>
          <w:highlight w:val="darkMagenta"/>
          <w:lang w:val="fr-LU"/>
        </w:rPr>
      </w:pPr>
      <w:r>
        <w:rPr>
          <w:rFonts w:asciiTheme="minorHAnsi" w:hAnsiTheme="minorHAnsi"/>
          <w:b/>
          <w:color w:val="FFFFFF" w:themeColor="background1"/>
          <w:highlight w:val="darkMagenta"/>
          <w:lang w:val="fr-LU"/>
        </w:rPr>
        <w:lastRenderedPageBreak/>
        <w:t xml:space="preserve">Couverture sanitaire universelle </w:t>
      </w:r>
      <w:r w:rsidR="00766BA9" w:rsidRPr="00766BA9">
        <w:rPr>
          <w:rFonts w:asciiTheme="minorHAnsi" w:hAnsiTheme="minorHAnsi"/>
          <w:b/>
          <w:color w:val="FFFFFF" w:themeColor="background1"/>
          <w:highlight w:val="darkMagenta"/>
          <w:lang w:val="fr-LU"/>
        </w:rPr>
        <w:t xml:space="preserve"> / </w:t>
      </w:r>
      <w:r w:rsidR="0062609C" w:rsidRPr="00766BA9">
        <w:rPr>
          <w:rFonts w:asciiTheme="minorHAnsi" w:hAnsiTheme="minorHAnsi"/>
          <w:b/>
          <w:color w:val="FFFFFF" w:themeColor="background1"/>
          <w:highlight w:val="darkMagenta"/>
          <w:lang w:val="fr-LU"/>
        </w:rPr>
        <w:t xml:space="preserve">Tiers payant général, </w:t>
      </w:r>
    </w:p>
    <w:p w:rsidR="00E719FE" w:rsidRPr="00E719FE" w:rsidRDefault="00E719FE" w:rsidP="00E719FE">
      <w:pPr>
        <w:pStyle w:val="Paragraphedeliste"/>
        <w:jc w:val="both"/>
        <w:rPr>
          <w:rFonts w:asciiTheme="minorHAnsi" w:hAnsiTheme="minorHAnsi"/>
          <w:color w:val="000000" w:themeColor="text1"/>
          <w:lang w:val="fr-LU"/>
        </w:rPr>
      </w:pPr>
      <w:r w:rsidRPr="00E719FE">
        <w:rPr>
          <w:rFonts w:asciiTheme="minorHAnsi" w:hAnsiTheme="minorHAnsi"/>
          <w:color w:val="000000" w:themeColor="text1"/>
          <w:lang w:val="fr-LU"/>
        </w:rPr>
        <w:t>Nous nous référons à la démarche commu</w:t>
      </w:r>
      <w:r w:rsidR="00B71F58">
        <w:rPr>
          <w:rFonts w:asciiTheme="minorHAnsi" w:hAnsiTheme="minorHAnsi"/>
          <w:color w:val="000000" w:themeColor="text1"/>
          <w:lang w:val="fr-LU"/>
        </w:rPr>
        <w:t>n</w:t>
      </w:r>
      <w:r w:rsidRPr="00E719FE">
        <w:rPr>
          <w:rFonts w:asciiTheme="minorHAnsi" w:hAnsiTheme="minorHAnsi"/>
          <w:color w:val="000000" w:themeColor="text1"/>
          <w:lang w:val="fr-LU"/>
        </w:rPr>
        <w:t xml:space="preserve">e de MdM, CNDS, MSF etc </w:t>
      </w:r>
    </w:p>
    <w:p w:rsidR="00460171" w:rsidRPr="00A77D2E" w:rsidRDefault="00907AC3" w:rsidP="00A77D2E">
      <w:pPr>
        <w:pStyle w:val="NormalWeb"/>
        <w:numPr>
          <w:ilvl w:val="0"/>
          <w:numId w:val="7"/>
        </w:numPr>
        <w:rPr>
          <w:rFonts w:asciiTheme="majorHAnsi" w:hAnsiTheme="majorHAnsi"/>
          <w:sz w:val="22"/>
          <w:szCs w:val="22"/>
        </w:rPr>
      </w:pPr>
      <w:r w:rsidRPr="009B2392">
        <w:rPr>
          <w:rFonts w:asciiTheme="majorHAnsi" w:hAnsiTheme="majorHAnsi"/>
          <w:color w:val="050707"/>
          <w:sz w:val="22"/>
          <w:szCs w:val="22"/>
        </w:rPr>
        <w:t>« </w:t>
      </w:r>
      <w:r w:rsidR="00766BA9" w:rsidRPr="009B2392">
        <w:rPr>
          <w:rFonts w:asciiTheme="majorHAnsi" w:hAnsiTheme="majorHAnsi"/>
          <w:color w:val="050707"/>
          <w:sz w:val="22"/>
          <w:szCs w:val="22"/>
        </w:rPr>
        <w:t xml:space="preserve">Lier l’accès au système national de protection sociale au fait que les personnes demandeuses </w:t>
      </w:r>
      <w:r w:rsidR="00766BA9" w:rsidRPr="009B2392">
        <w:rPr>
          <w:rFonts w:asciiTheme="majorHAnsi" w:hAnsiTheme="majorHAnsi"/>
          <w:b/>
          <w:bCs/>
          <w:color w:val="050707"/>
          <w:sz w:val="22"/>
          <w:szCs w:val="22"/>
        </w:rPr>
        <w:t>vivent sur le territoire luxembourgeois.</w:t>
      </w:r>
      <w:r w:rsidR="00766BA9" w:rsidRPr="009B2392">
        <w:rPr>
          <w:rFonts w:asciiTheme="majorHAnsi" w:hAnsiTheme="majorHAnsi"/>
          <w:b/>
          <w:bCs/>
          <w:color w:val="050707"/>
          <w:sz w:val="22"/>
          <w:szCs w:val="22"/>
        </w:rPr>
        <w:br/>
      </w:r>
      <w:r w:rsidR="00766BA9" w:rsidRPr="00E719FE">
        <w:rPr>
          <w:rFonts w:asciiTheme="majorHAnsi" w:hAnsiTheme="majorHAnsi"/>
          <w:color w:val="050707"/>
          <w:sz w:val="16"/>
          <w:szCs w:val="16"/>
        </w:rPr>
        <w:t>Le Luxembourg peut s’inspirer des modèles mis en œuvre dans les pays voisins comme l’Aide médicale de l’Etat (AME)</w:t>
      </w:r>
      <w:r w:rsidR="00766BA9" w:rsidRPr="00E719FE">
        <w:rPr>
          <w:rFonts w:asciiTheme="majorHAnsi" w:hAnsiTheme="majorHAnsi"/>
          <w:color w:val="050707"/>
          <w:position w:val="6"/>
          <w:sz w:val="16"/>
          <w:szCs w:val="16"/>
        </w:rPr>
        <w:t xml:space="preserve"> </w:t>
      </w:r>
      <w:r w:rsidR="00766BA9" w:rsidRPr="00E719FE">
        <w:rPr>
          <w:rFonts w:asciiTheme="majorHAnsi" w:hAnsiTheme="majorHAnsi"/>
          <w:color w:val="050707"/>
          <w:sz w:val="16"/>
          <w:szCs w:val="16"/>
        </w:rPr>
        <w:t xml:space="preserve">en France ou l’Aide médicale urgente (AMU) en Belgique. L’AME est un dispositif permettant aux personnes sans autorisation de séjour de bénéfi- cier d’un accès aux soins. Elle participe ainsi à l’accès universel aux soins de santé. Offrir un accès </w:t>
      </w:r>
      <w:r w:rsidR="00766BA9" w:rsidRPr="00E719FE">
        <w:rPr>
          <w:rFonts w:asciiTheme="majorHAnsi" w:hAnsiTheme="majorHAnsi"/>
          <w:b/>
          <w:bCs/>
          <w:color w:val="050707"/>
          <w:sz w:val="16"/>
          <w:szCs w:val="16"/>
        </w:rPr>
        <w:t xml:space="preserve">complet </w:t>
      </w:r>
      <w:r w:rsidR="00766BA9" w:rsidRPr="00E719FE">
        <w:rPr>
          <w:rFonts w:asciiTheme="majorHAnsi" w:hAnsiTheme="majorHAnsi"/>
          <w:color w:val="050707"/>
          <w:sz w:val="16"/>
          <w:szCs w:val="16"/>
        </w:rPr>
        <w:t xml:space="preserve">aux soins de santé primaires à </w:t>
      </w:r>
      <w:r w:rsidR="00766BA9" w:rsidRPr="00E719FE">
        <w:rPr>
          <w:rFonts w:asciiTheme="majorHAnsi" w:hAnsiTheme="majorHAnsi"/>
          <w:b/>
          <w:bCs/>
          <w:color w:val="050707"/>
          <w:sz w:val="16"/>
          <w:szCs w:val="16"/>
        </w:rPr>
        <w:t xml:space="preserve">tous les enfants </w:t>
      </w:r>
      <w:r w:rsidR="00766BA9" w:rsidRPr="00E719FE">
        <w:rPr>
          <w:rFonts w:asciiTheme="majorHAnsi" w:hAnsiTheme="majorHAnsi"/>
          <w:color w:val="050707"/>
          <w:sz w:val="16"/>
          <w:szCs w:val="16"/>
        </w:rPr>
        <w:t xml:space="preserve">vivant au Luxembourg. </w:t>
      </w:r>
      <w:r w:rsidRPr="00E719FE">
        <w:rPr>
          <w:rFonts w:asciiTheme="majorHAnsi" w:hAnsiTheme="majorHAnsi"/>
          <w:sz w:val="16"/>
          <w:szCs w:val="16"/>
        </w:rPr>
        <w:t xml:space="preserve"> </w:t>
      </w:r>
      <w:r w:rsidR="00766BA9" w:rsidRPr="00E719FE">
        <w:rPr>
          <w:rFonts w:asciiTheme="majorHAnsi" w:hAnsiTheme="majorHAnsi"/>
          <w:sz w:val="16"/>
          <w:szCs w:val="16"/>
        </w:rPr>
        <w:t>Cet accès comprend en particulier les vaccinations de base aux enfants de migrants en situation irrégulière.</w:t>
      </w:r>
      <w:r w:rsidR="00766BA9" w:rsidRPr="009B2392">
        <w:rPr>
          <w:rFonts w:asciiTheme="majorHAnsi" w:hAnsiTheme="majorHAnsi"/>
          <w:sz w:val="22"/>
          <w:szCs w:val="22"/>
        </w:rPr>
        <w:t xml:space="preserve"> </w:t>
      </w:r>
      <w:r w:rsidR="00A77D2E">
        <w:rPr>
          <w:rFonts w:asciiTheme="majorHAnsi" w:hAnsiTheme="majorHAnsi"/>
          <w:sz w:val="22"/>
          <w:szCs w:val="22"/>
        </w:rPr>
        <w:tab/>
      </w:r>
      <w:r w:rsidR="00A77D2E">
        <w:rPr>
          <w:rFonts w:asciiTheme="majorHAnsi" w:hAnsiTheme="majorHAnsi"/>
          <w:sz w:val="22"/>
          <w:szCs w:val="22"/>
        </w:rPr>
        <w:tab/>
      </w:r>
      <w:r w:rsidR="00A77D2E">
        <w:rPr>
          <w:rFonts w:asciiTheme="majorHAnsi" w:hAnsiTheme="majorHAnsi"/>
          <w:sz w:val="22"/>
          <w:szCs w:val="22"/>
        </w:rPr>
        <w:tab/>
      </w:r>
      <w:r w:rsidR="00A77D2E">
        <w:rPr>
          <w:rFonts w:asciiTheme="majorHAnsi" w:hAnsiTheme="majorHAnsi"/>
          <w:sz w:val="22"/>
          <w:szCs w:val="22"/>
        </w:rPr>
        <w:tab/>
      </w:r>
      <w:r w:rsidR="00460171" w:rsidRPr="00A77D2E">
        <w:rPr>
          <w:rFonts w:asciiTheme="majorHAnsi" w:hAnsiTheme="majorHAnsi"/>
          <w:i/>
          <w:sz w:val="22"/>
          <w:szCs w:val="22"/>
        </w:rPr>
        <w:t>L’accès universel vaut déjà  pour tous les mineurs, quelque soit leur statut</w:t>
      </w:r>
    </w:p>
    <w:p w:rsidR="00460171" w:rsidRPr="00460171" w:rsidRDefault="00907AC3" w:rsidP="00460171">
      <w:pPr>
        <w:pStyle w:val="NormalWeb"/>
        <w:numPr>
          <w:ilvl w:val="0"/>
          <w:numId w:val="7"/>
        </w:numPr>
        <w:rPr>
          <w:rFonts w:asciiTheme="majorHAnsi" w:hAnsiTheme="majorHAnsi"/>
          <w:sz w:val="22"/>
          <w:szCs w:val="22"/>
        </w:rPr>
      </w:pPr>
      <w:r w:rsidRPr="009B2392">
        <w:rPr>
          <w:rFonts w:asciiTheme="majorHAnsi" w:hAnsiTheme="majorHAnsi"/>
          <w:b/>
          <w:bCs/>
          <w:color w:val="050707"/>
          <w:sz w:val="22"/>
          <w:szCs w:val="22"/>
        </w:rPr>
        <w:t xml:space="preserve">Généraliser le tiers-payant </w:t>
      </w:r>
      <w:r w:rsidRPr="009B2392">
        <w:rPr>
          <w:rFonts w:asciiTheme="majorHAnsi" w:hAnsiTheme="majorHAnsi"/>
          <w:color w:val="050707"/>
          <w:sz w:val="22"/>
          <w:szCs w:val="22"/>
        </w:rPr>
        <w:t xml:space="preserve">pour tous les actes effectués en ambulatoire afin que personne ne soit contraint de renoncer à des soins de santé pour des raisons financières. </w:t>
      </w:r>
    </w:p>
    <w:p w:rsidR="00460171" w:rsidRDefault="00907AC3" w:rsidP="00460171">
      <w:pPr>
        <w:pStyle w:val="NormalWeb"/>
        <w:numPr>
          <w:ilvl w:val="0"/>
          <w:numId w:val="7"/>
        </w:numPr>
        <w:rPr>
          <w:rFonts w:asciiTheme="majorHAnsi" w:hAnsiTheme="majorHAnsi"/>
          <w:sz w:val="22"/>
          <w:szCs w:val="22"/>
        </w:rPr>
      </w:pPr>
      <w:r w:rsidRPr="009B2392">
        <w:rPr>
          <w:rFonts w:asciiTheme="majorHAnsi" w:hAnsiTheme="majorHAnsi"/>
          <w:color w:val="050707"/>
          <w:sz w:val="22"/>
          <w:szCs w:val="22"/>
        </w:rPr>
        <w:t xml:space="preserve">En attendant le </w:t>
      </w:r>
      <w:r w:rsidR="00C45703" w:rsidRPr="009B2392">
        <w:rPr>
          <w:rFonts w:asciiTheme="majorHAnsi" w:hAnsiTheme="majorHAnsi"/>
          <w:color w:val="050707"/>
          <w:sz w:val="22"/>
          <w:szCs w:val="22"/>
        </w:rPr>
        <w:t>tiers payant généralisé, d</w:t>
      </w:r>
      <w:r w:rsidR="00766BA9" w:rsidRPr="009B2392">
        <w:rPr>
          <w:rFonts w:asciiTheme="majorHAnsi" w:hAnsiTheme="majorHAnsi"/>
          <w:color w:val="050707"/>
          <w:sz w:val="22"/>
          <w:szCs w:val="22"/>
        </w:rPr>
        <w:t xml:space="preserve">onner plus de moyens aux offices sociaux des communes afin d’accélérer le traitement des demandes de </w:t>
      </w:r>
      <w:r w:rsidR="00766BA9" w:rsidRPr="009B2392">
        <w:rPr>
          <w:rFonts w:asciiTheme="majorHAnsi" w:hAnsiTheme="majorHAnsi"/>
          <w:b/>
          <w:bCs/>
          <w:color w:val="050707"/>
          <w:sz w:val="22"/>
          <w:szCs w:val="22"/>
        </w:rPr>
        <w:t xml:space="preserve">tiers-payant social </w:t>
      </w:r>
      <w:r w:rsidR="00766BA9" w:rsidRPr="009B2392">
        <w:rPr>
          <w:rFonts w:asciiTheme="majorHAnsi" w:hAnsiTheme="majorHAnsi"/>
          <w:color w:val="050707"/>
          <w:sz w:val="22"/>
          <w:szCs w:val="22"/>
        </w:rPr>
        <w:t xml:space="preserve">(TPS). </w:t>
      </w:r>
      <w:r w:rsidR="00766BA9" w:rsidRPr="009B2392">
        <w:rPr>
          <w:rFonts w:asciiTheme="majorHAnsi" w:hAnsiTheme="majorHAnsi"/>
          <w:sz w:val="22"/>
          <w:szCs w:val="22"/>
        </w:rPr>
        <w:t>Nous recommendons d’alléger les procédures et d’élargir l’offre de soins liées au TPS pour les personnes en difficulté financière</w:t>
      </w:r>
      <w:r w:rsidR="00C45703" w:rsidRPr="009B2392">
        <w:rPr>
          <w:rFonts w:asciiTheme="majorHAnsi" w:hAnsiTheme="majorHAnsi"/>
          <w:sz w:val="22"/>
          <w:szCs w:val="22"/>
        </w:rPr>
        <w:t xml:space="preserve"> » </w:t>
      </w:r>
    </w:p>
    <w:p w:rsidR="00DD4624" w:rsidRPr="00A77D2E" w:rsidRDefault="0062609C" w:rsidP="00A77D2E">
      <w:pPr>
        <w:pStyle w:val="NormalWeb"/>
        <w:numPr>
          <w:ilvl w:val="0"/>
          <w:numId w:val="7"/>
        </w:numPr>
        <w:rPr>
          <w:rFonts w:asciiTheme="minorHAnsi" w:hAnsiTheme="minorHAnsi"/>
        </w:rPr>
      </w:pPr>
      <w:r w:rsidRPr="00460171">
        <w:rPr>
          <w:rFonts w:asciiTheme="majorHAnsi" w:hAnsiTheme="majorHAnsi"/>
          <w:sz w:val="22"/>
          <w:szCs w:val="22"/>
          <w:lang w:val="de-DE"/>
        </w:rPr>
        <w:t xml:space="preserve">Un des grands problèmes du Luxembourg est </w:t>
      </w:r>
      <w:r w:rsidRPr="00460171">
        <w:rPr>
          <w:rFonts w:asciiTheme="majorHAnsi" w:hAnsiTheme="majorHAnsi"/>
          <w:b/>
          <w:sz w:val="22"/>
          <w:szCs w:val="22"/>
          <w:lang w:val="de-DE"/>
        </w:rPr>
        <w:t>le non-dit de conditions précises d’accès</w:t>
      </w:r>
      <w:r w:rsidRPr="00460171">
        <w:rPr>
          <w:rFonts w:asciiTheme="majorHAnsi" w:hAnsiTheme="majorHAnsi"/>
          <w:sz w:val="22"/>
          <w:szCs w:val="22"/>
          <w:lang w:val="de-DE"/>
        </w:rPr>
        <w:t xml:space="preserve">, qui font partie des décisions administratives. Tout ce qui n’est pas explicité dans un texte officiel (textes de loi, textes de statuts, d’annonces officielles sur internet (guichet.lu), arrêtés ministériels, etc.) reste vague en termes de droits et produit des décisions discrétionnaires. Il est vrai que l’administration est bienveillante face à de très nombreuse demandes. Or, ce qui existe comme texte officiel peut être reclamé, alors que le reste risque de faire partie des marges d’interprétations avec des réponses </w:t>
      </w:r>
      <w:r w:rsidR="00E24095" w:rsidRPr="00460171">
        <w:rPr>
          <w:rFonts w:asciiTheme="majorHAnsi" w:hAnsiTheme="majorHAnsi"/>
          <w:sz w:val="22"/>
          <w:szCs w:val="22"/>
          <w:lang w:val="de-DE"/>
        </w:rPr>
        <w:t>positi</w:t>
      </w:r>
      <w:r w:rsidRPr="00460171">
        <w:rPr>
          <w:rFonts w:asciiTheme="majorHAnsi" w:hAnsiTheme="majorHAnsi"/>
          <w:sz w:val="22"/>
          <w:szCs w:val="22"/>
          <w:lang w:val="de-DE"/>
        </w:rPr>
        <w:t>ives</w:t>
      </w:r>
      <w:r w:rsidR="00E24095" w:rsidRPr="00460171">
        <w:rPr>
          <w:rFonts w:asciiTheme="majorHAnsi" w:hAnsiTheme="majorHAnsi"/>
          <w:sz w:val="22"/>
          <w:szCs w:val="22"/>
          <w:lang w:val="de-DE"/>
        </w:rPr>
        <w:t>,</w:t>
      </w:r>
      <w:r w:rsidRPr="00460171">
        <w:rPr>
          <w:rFonts w:asciiTheme="majorHAnsi" w:hAnsiTheme="majorHAnsi"/>
          <w:sz w:val="22"/>
          <w:szCs w:val="22"/>
          <w:lang w:val="de-DE"/>
        </w:rPr>
        <w:t xml:space="preserve"> mais aussi négatives. </w:t>
      </w:r>
    </w:p>
    <w:p w:rsidR="00B97E18" w:rsidRPr="008B63D6" w:rsidRDefault="0062609C" w:rsidP="00BF5CE9">
      <w:pPr>
        <w:pStyle w:val="Corps"/>
        <w:numPr>
          <w:ilvl w:val="0"/>
          <w:numId w:val="5"/>
        </w:numPr>
        <w:ind w:hanging="654"/>
        <w:rPr>
          <w:rFonts w:asciiTheme="minorHAnsi" w:hAnsiTheme="minorHAnsi"/>
          <w:b/>
          <w:color w:val="FFFFFF" w:themeColor="background1"/>
          <w:highlight w:val="darkMagenta"/>
        </w:rPr>
      </w:pPr>
      <w:r w:rsidRPr="008B63D6">
        <w:rPr>
          <w:rFonts w:asciiTheme="minorHAnsi" w:hAnsiTheme="minorHAnsi"/>
          <w:b/>
          <w:color w:val="FFFFFF" w:themeColor="background1"/>
          <w:highlight w:val="darkMagenta"/>
        </w:rPr>
        <w:t xml:space="preserve">Les aides sociales </w:t>
      </w:r>
      <w:r w:rsidR="00433AE5" w:rsidRPr="008B63D6">
        <w:rPr>
          <w:rFonts w:asciiTheme="minorHAnsi" w:hAnsiTheme="minorHAnsi"/>
          <w:b/>
          <w:color w:val="FFFFFF" w:themeColor="background1"/>
          <w:highlight w:val="darkMagenta"/>
        </w:rPr>
        <w:t xml:space="preserve">fournies par les Offices Sociaux </w:t>
      </w:r>
    </w:p>
    <w:p w:rsidR="00B97E18" w:rsidRPr="00BF5CE9" w:rsidRDefault="00B97E18" w:rsidP="00BF5CE9">
      <w:pPr>
        <w:pStyle w:val="Corps"/>
        <w:ind w:left="720" w:hanging="294"/>
        <w:rPr>
          <w:rFonts w:asciiTheme="minorHAnsi" w:hAnsiTheme="minorHAnsi"/>
        </w:rPr>
      </w:pPr>
      <w:r w:rsidRPr="00BF5CE9">
        <w:rPr>
          <w:rFonts w:asciiTheme="minorHAnsi" w:hAnsiTheme="minorHAnsi"/>
        </w:rPr>
        <w:t>Les Offices Sociaux fixent chacun ses critères d’attribution d’aide et de soutien et les moyens y affectés. Si cette façon de faire relève d</w:t>
      </w:r>
      <w:r w:rsidR="00BF5CE9">
        <w:rPr>
          <w:rFonts w:asciiTheme="minorHAnsi" w:hAnsiTheme="minorHAnsi"/>
        </w:rPr>
        <w:t>e</w:t>
      </w:r>
      <w:r w:rsidR="008B63D6">
        <w:rPr>
          <w:rFonts w:asciiTheme="minorHAnsi" w:hAnsiTheme="minorHAnsi"/>
        </w:rPr>
        <w:t xml:space="preserve"> </w:t>
      </w:r>
      <w:r w:rsidRPr="00BF5CE9">
        <w:rPr>
          <w:rFonts w:asciiTheme="minorHAnsi" w:hAnsiTheme="minorHAnsi"/>
        </w:rPr>
        <w:t xml:space="preserve">l’autonomie communale, on doit constater que les citoyens concernés ne sont pas traités de façon égale, leur aide dépendant de l’OS </w:t>
      </w:r>
      <w:proofErr w:type="gramStart"/>
      <w:r w:rsidRPr="00BF5CE9">
        <w:rPr>
          <w:rFonts w:asciiTheme="minorHAnsi" w:hAnsiTheme="minorHAnsi"/>
        </w:rPr>
        <w:t>respectif .</w:t>
      </w:r>
      <w:proofErr w:type="gramEnd"/>
      <w:r w:rsidRPr="00BF5CE9">
        <w:rPr>
          <w:rFonts w:asciiTheme="minorHAnsi" w:hAnsiTheme="minorHAnsi"/>
        </w:rPr>
        <w:t xml:space="preserve"> </w:t>
      </w:r>
    </w:p>
    <w:p w:rsidR="00B97E18" w:rsidRDefault="00B97E18" w:rsidP="00BF5CE9">
      <w:pPr>
        <w:pStyle w:val="Corps"/>
        <w:ind w:left="720" w:hanging="294"/>
        <w:rPr>
          <w:rFonts w:asciiTheme="minorHAnsi" w:hAnsiTheme="minorHAnsi"/>
        </w:rPr>
      </w:pPr>
      <w:r w:rsidRPr="00BF5CE9">
        <w:rPr>
          <w:rFonts w:asciiTheme="minorHAnsi" w:hAnsiTheme="minorHAnsi"/>
        </w:rPr>
        <w:t xml:space="preserve">Les jeunes de moins de 25 </w:t>
      </w:r>
      <w:proofErr w:type="gramStart"/>
      <w:r w:rsidRPr="00BF5CE9">
        <w:rPr>
          <w:rFonts w:asciiTheme="minorHAnsi" w:hAnsiTheme="minorHAnsi"/>
        </w:rPr>
        <w:t>ans ,</w:t>
      </w:r>
      <w:proofErr w:type="gramEnd"/>
      <w:r w:rsidRPr="00BF5CE9">
        <w:rPr>
          <w:rFonts w:asciiTheme="minorHAnsi" w:hAnsiTheme="minorHAnsi"/>
        </w:rPr>
        <w:t xml:space="preserve"> non éligibles pour le REVIS </w:t>
      </w:r>
      <w:r w:rsidR="00BD4D26" w:rsidRPr="00BF5CE9">
        <w:rPr>
          <w:rFonts w:asciiTheme="minorHAnsi" w:hAnsiTheme="minorHAnsi"/>
        </w:rPr>
        <w:t xml:space="preserve">et non affiliés  (par leurs parents) à la Sécurité Sociale  dépendent du bon vouloir </w:t>
      </w:r>
      <w:r w:rsidR="00E64BD8" w:rsidRPr="00BF5CE9">
        <w:rPr>
          <w:rFonts w:asciiTheme="minorHAnsi" w:hAnsiTheme="minorHAnsi"/>
        </w:rPr>
        <w:t>de leur OS :</w:t>
      </w:r>
      <w:r w:rsidR="00BF5CE9">
        <w:rPr>
          <w:rFonts w:asciiTheme="minorHAnsi" w:hAnsiTheme="minorHAnsi"/>
        </w:rPr>
        <w:t xml:space="preserve"> </w:t>
      </w:r>
      <w:r w:rsidR="00E64BD8" w:rsidRPr="00BF5CE9">
        <w:rPr>
          <w:rFonts w:asciiTheme="minorHAnsi" w:hAnsiTheme="minorHAnsi"/>
        </w:rPr>
        <w:t xml:space="preserve">ici l’OS paie l’assurance volontaire, là </w:t>
      </w:r>
      <w:r w:rsidR="00E4198C" w:rsidRPr="00BF5CE9">
        <w:rPr>
          <w:rFonts w:asciiTheme="minorHAnsi" w:hAnsiTheme="minorHAnsi"/>
        </w:rPr>
        <w:t>paie des produits d’hygiène, ailleurs on attribue 40€ par mois, ou encore 400€</w:t>
      </w:r>
    </w:p>
    <w:p w:rsidR="00414E87" w:rsidRPr="00BF5CE9" w:rsidRDefault="00414E87" w:rsidP="00BF5CE9">
      <w:pPr>
        <w:pStyle w:val="Corps"/>
        <w:ind w:left="720" w:hanging="294"/>
        <w:rPr>
          <w:rFonts w:asciiTheme="minorHAnsi" w:hAnsiTheme="minorHAnsi"/>
        </w:rPr>
      </w:pPr>
      <w:r>
        <w:t>Des témoignages récurrents signalent une distribution inégale des aides sociales de par le pays, en fonction de l’OS, de la commune, du fonctionnaire, de la tête du client …Pour toutes les situations et toutes les tranches d’âge</w:t>
      </w:r>
    </w:p>
    <w:p w:rsidR="007F722D" w:rsidRPr="00BF5CE9" w:rsidRDefault="007F722D" w:rsidP="00BF5CE9">
      <w:pPr>
        <w:pStyle w:val="Corps"/>
        <w:ind w:hanging="654"/>
        <w:rPr>
          <w:rFonts w:asciiTheme="minorHAnsi" w:hAnsiTheme="minorHAnsi"/>
        </w:rPr>
      </w:pPr>
    </w:p>
    <w:p w:rsidR="00BF5CE9" w:rsidRPr="0029670B" w:rsidRDefault="00273F11" w:rsidP="00BF5CE9">
      <w:pPr>
        <w:pStyle w:val="Corps"/>
        <w:numPr>
          <w:ilvl w:val="0"/>
          <w:numId w:val="5"/>
        </w:numPr>
        <w:ind w:hanging="654"/>
        <w:rPr>
          <w:rFonts w:asciiTheme="minorHAnsi" w:hAnsiTheme="minorHAnsi"/>
          <w:b/>
          <w:color w:val="FFFFFF" w:themeColor="background1"/>
          <w:highlight w:val="darkMagenta"/>
        </w:rPr>
      </w:pPr>
      <w:r w:rsidRPr="0029670B">
        <w:rPr>
          <w:rFonts w:asciiTheme="minorHAnsi" w:hAnsiTheme="minorHAnsi"/>
          <w:b/>
          <w:color w:val="FFFFFF" w:themeColor="background1"/>
          <w:highlight w:val="darkMagenta"/>
        </w:rPr>
        <w:t xml:space="preserve">Logement </w:t>
      </w:r>
    </w:p>
    <w:p w:rsidR="00273F11" w:rsidRDefault="006A5AA6" w:rsidP="00EB3B91">
      <w:pPr>
        <w:pStyle w:val="Corps"/>
        <w:ind w:left="426"/>
        <w:rPr>
          <w:rFonts w:asciiTheme="minorHAnsi" w:hAnsiTheme="minorHAnsi"/>
        </w:rPr>
      </w:pPr>
      <w:r w:rsidRPr="006A5AA6">
        <w:rPr>
          <w:rFonts w:asciiTheme="minorHAnsi" w:hAnsiTheme="minorHAnsi"/>
        </w:rPr>
        <w:t xml:space="preserve">C’est </w:t>
      </w:r>
      <w:proofErr w:type="gramStart"/>
      <w:r w:rsidRPr="006A5AA6">
        <w:rPr>
          <w:rFonts w:asciiTheme="minorHAnsi" w:hAnsiTheme="minorHAnsi"/>
        </w:rPr>
        <w:t>la marché locatif</w:t>
      </w:r>
      <w:proofErr w:type="gramEnd"/>
      <w:r w:rsidRPr="006A5AA6">
        <w:rPr>
          <w:rFonts w:asciiTheme="minorHAnsi" w:hAnsiTheme="minorHAnsi"/>
        </w:rPr>
        <w:t xml:space="preserve"> qui pose le plus de problèmes avec ses loyers souvent prohibitifs</w:t>
      </w:r>
      <w:r>
        <w:rPr>
          <w:rFonts w:asciiTheme="minorHAnsi" w:hAnsiTheme="minorHAnsi"/>
        </w:rPr>
        <w:t xml:space="preserve">. Pour construire davantage de locatif social, il faut mobiliser une partie des réserves du Fonds de </w:t>
      </w:r>
      <w:r w:rsidR="00EB3B91">
        <w:rPr>
          <w:rFonts w:asciiTheme="minorHAnsi" w:hAnsiTheme="minorHAnsi"/>
        </w:rPr>
        <w:t>compensation</w:t>
      </w:r>
      <w:r>
        <w:rPr>
          <w:rFonts w:asciiTheme="minorHAnsi" w:hAnsiTheme="minorHAnsi"/>
        </w:rPr>
        <w:t xml:space="preserve"> </w:t>
      </w:r>
      <w:r w:rsidR="00FA398B">
        <w:rPr>
          <w:rFonts w:asciiTheme="minorHAnsi" w:hAnsiTheme="minorHAnsi"/>
        </w:rPr>
        <w:t xml:space="preserve">et doter les communes de </w:t>
      </w:r>
      <w:r w:rsidR="00EB3B91">
        <w:rPr>
          <w:rFonts w:asciiTheme="minorHAnsi" w:hAnsiTheme="minorHAnsi"/>
        </w:rPr>
        <w:t>compétences</w:t>
      </w:r>
      <w:r w:rsidR="007C0B61">
        <w:rPr>
          <w:rFonts w:asciiTheme="minorHAnsi" w:hAnsiTheme="minorHAnsi"/>
        </w:rPr>
        <w:t xml:space="preserve">, respectivement de </w:t>
      </w:r>
      <w:proofErr w:type="gramStart"/>
      <w:r w:rsidR="007C0B61">
        <w:rPr>
          <w:rFonts w:asciiTheme="minorHAnsi" w:hAnsiTheme="minorHAnsi"/>
        </w:rPr>
        <w:t xml:space="preserve">support </w:t>
      </w:r>
      <w:r w:rsidR="00FA398B">
        <w:rPr>
          <w:rFonts w:asciiTheme="minorHAnsi" w:hAnsiTheme="minorHAnsi"/>
        </w:rPr>
        <w:t xml:space="preserve"> pour</w:t>
      </w:r>
      <w:proofErr w:type="gramEnd"/>
      <w:r w:rsidR="00FA398B">
        <w:rPr>
          <w:rFonts w:asciiTheme="minorHAnsi" w:hAnsiTheme="minorHAnsi"/>
        </w:rPr>
        <w:t xml:space="preserve"> pouvoir donner suite aux possibilités actuelles de la loi de 1979 pour créer</w:t>
      </w:r>
      <w:r w:rsidR="0029670B">
        <w:rPr>
          <w:rFonts w:asciiTheme="minorHAnsi" w:hAnsiTheme="minorHAnsi"/>
        </w:rPr>
        <w:t xml:space="preserve"> </w:t>
      </w:r>
      <w:r w:rsidR="00FA398B">
        <w:rPr>
          <w:rFonts w:asciiTheme="minorHAnsi" w:hAnsiTheme="minorHAnsi"/>
        </w:rPr>
        <w:t>et am</w:t>
      </w:r>
      <w:r w:rsidR="0029670B">
        <w:rPr>
          <w:rFonts w:asciiTheme="minorHAnsi" w:hAnsiTheme="minorHAnsi"/>
        </w:rPr>
        <w:t>én</w:t>
      </w:r>
      <w:r w:rsidR="00FA398B">
        <w:rPr>
          <w:rFonts w:asciiTheme="minorHAnsi" w:hAnsiTheme="minorHAnsi"/>
        </w:rPr>
        <w:t xml:space="preserve">ager </w:t>
      </w:r>
      <w:r w:rsidR="0029670B">
        <w:rPr>
          <w:rFonts w:asciiTheme="minorHAnsi" w:hAnsiTheme="minorHAnsi"/>
        </w:rPr>
        <w:t>du logement locatif. Une participation financière de l’Etat ne suffit manifestement pas</w:t>
      </w:r>
      <w:r w:rsidR="007C0B61">
        <w:rPr>
          <w:rFonts w:asciiTheme="minorHAnsi" w:hAnsiTheme="minorHAnsi"/>
        </w:rPr>
        <w:t>.</w:t>
      </w:r>
    </w:p>
    <w:p w:rsidR="00A77D2E" w:rsidRDefault="00A77D2E" w:rsidP="00EB3B91">
      <w:pPr>
        <w:pStyle w:val="Corps"/>
        <w:ind w:left="426"/>
        <w:rPr>
          <w:rFonts w:asciiTheme="minorHAnsi" w:hAnsiTheme="minorHAnsi"/>
        </w:rPr>
      </w:pPr>
    </w:p>
    <w:p w:rsidR="00A77D2E" w:rsidRPr="003A461B" w:rsidRDefault="00A77D2E" w:rsidP="003A461B">
      <w:pPr>
        <w:pStyle w:val="Corps"/>
        <w:numPr>
          <w:ilvl w:val="0"/>
          <w:numId w:val="5"/>
        </w:numPr>
        <w:ind w:left="426" w:firstLine="0"/>
        <w:rPr>
          <w:rFonts w:asciiTheme="minorHAnsi" w:hAnsiTheme="minorHAnsi"/>
          <w:b/>
          <w:color w:val="FFFFFF" w:themeColor="background1"/>
          <w:highlight w:val="darkMagenta"/>
        </w:rPr>
      </w:pPr>
      <w:r w:rsidRPr="003A461B">
        <w:rPr>
          <w:rFonts w:asciiTheme="minorHAnsi" w:hAnsiTheme="minorHAnsi"/>
          <w:b/>
          <w:color w:val="FFFFFF" w:themeColor="background1"/>
          <w:highlight w:val="darkMagenta"/>
        </w:rPr>
        <w:t>Soutien</w:t>
      </w:r>
      <w:r w:rsidR="00467E97" w:rsidRPr="003A461B">
        <w:rPr>
          <w:rFonts w:asciiTheme="minorHAnsi" w:hAnsiTheme="minorHAnsi"/>
          <w:b/>
          <w:color w:val="FFFFFF" w:themeColor="background1"/>
          <w:highlight w:val="darkMagenta"/>
        </w:rPr>
        <w:t xml:space="preserve"> </w:t>
      </w:r>
      <w:r w:rsidRPr="003A461B">
        <w:rPr>
          <w:rFonts w:asciiTheme="minorHAnsi" w:hAnsiTheme="minorHAnsi"/>
          <w:b/>
          <w:color w:val="FFFFFF" w:themeColor="background1"/>
          <w:highlight w:val="darkMagenta"/>
        </w:rPr>
        <w:t>fi</w:t>
      </w:r>
      <w:r w:rsidR="00467E97" w:rsidRPr="003A461B">
        <w:rPr>
          <w:rFonts w:asciiTheme="minorHAnsi" w:hAnsiTheme="minorHAnsi"/>
          <w:b/>
          <w:color w:val="FFFFFF" w:themeColor="background1"/>
          <w:highlight w:val="darkMagenta"/>
        </w:rPr>
        <w:t>n</w:t>
      </w:r>
      <w:r w:rsidRPr="003A461B">
        <w:rPr>
          <w:rFonts w:asciiTheme="minorHAnsi" w:hAnsiTheme="minorHAnsi"/>
          <w:b/>
          <w:color w:val="FFFFFF" w:themeColor="background1"/>
          <w:highlight w:val="darkMagenta"/>
        </w:rPr>
        <w:t xml:space="preserve">ancier aux familles d’accueil </w:t>
      </w:r>
    </w:p>
    <w:p w:rsidR="000E43EB" w:rsidRPr="003A461B" w:rsidRDefault="00A77D2E" w:rsidP="003A461B">
      <w:pPr>
        <w:pStyle w:val="Corps"/>
        <w:ind w:left="426"/>
        <w:rPr>
          <w:rFonts w:asciiTheme="minorHAnsi" w:hAnsiTheme="minorHAnsi"/>
        </w:rPr>
      </w:pPr>
      <w:r w:rsidRPr="00483CBD">
        <w:rPr>
          <w:rFonts w:asciiTheme="minorHAnsi" w:hAnsiTheme="minorHAnsi"/>
        </w:rPr>
        <w:t xml:space="preserve">Fournir un toit à des </w:t>
      </w:r>
      <w:r w:rsidR="00820B32" w:rsidRPr="00483CBD">
        <w:rPr>
          <w:rFonts w:asciiTheme="minorHAnsi" w:hAnsiTheme="minorHAnsi"/>
        </w:rPr>
        <w:t xml:space="preserve">personnes </w:t>
      </w:r>
      <w:proofErr w:type="gramStart"/>
      <w:r w:rsidR="00820B32" w:rsidRPr="00483CBD">
        <w:rPr>
          <w:rFonts w:asciiTheme="minorHAnsi" w:hAnsiTheme="minorHAnsi"/>
        </w:rPr>
        <w:t xml:space="preserve">vulnérables </w:t>
      </w:r>
      <w:r w:rsidR="002B469F" w:rsidRPr="00483CBD">
        <w:rPr>
          <w:rFonts w:asciiTheme="minorHAnsi" w:hAnsiTheme="minorHAnsi"/>
        </w:rPr>
        <w:t xml:space="preserve"> constitue</w:t>
      </w:r>
      <w:proofErr w:type="gramEnd"/>
      <w:r w:rsidR="002B469F" w:rsidRPr="00483CBD">
        <w:rPr>
          <w:rFonts w:asciiTheme="minorHAnsi" w:hAnsiTheme="minorHAnsi"/>
        </w:rPr>
        <w:t xml:space="preserve"> aussi un él</w:t>
      </w:r>
      <w:r w:rsidR="00467E97" w:rsidRPr="00483CBD">
        <w:rPr>
          <w:rFonts w:asciiTheme="minorHAnsi" w:hAnsiTheme="minorHAnsi"/>
        </w:rPr>
        <w:t>é</w:t>
      </w:r>
      <w:r w:rsidR="002B469F" w:rsidRPr="00483CBD">
        <w:rPr>
          <w:rFonts w:asciiTheme="minorHAnsi" w:hAnsiTheme="minorHAnsi"/>
        </w:rPr>
        <w:t>ment d’intégration pour ces mêmes personnes</w:t>
      </w:r>
      <w:r w:rsidR="00820B32" w:rsidRPr="00483CBD">
        <w:rPr>
          <w:rFonts w:asciiTheme="minorHAnsi" w:hAnsiTheme="minorHAnsi"/>
        </w:rPr>
        <w:t xml:space="preserve">. </w:t>
      </w:r>
      <w:r w:rsidR="00483CBD" w:rsidRPr="00483CBD">
        <w:rPr>
          <w:rFonts w:asciiTheme="minorHAnsi" w:hAnsiTheme="minorHAnsi"/>
        </w:rPr>
        <w:t>Pareils soutiens existent dans plusieurs pays européens</w:t>
      </w:r>
      <w:r w:rsidR="003A461B">
        <w:rPr>
          <w:rFonts w:asciiTheme="minorHAnsi" w:hAnsiTheme="minorHAnsi"/>
        </w:rPr>
        <w:t>.</w:t>
      </w:r>
      <w:r w:rsidR="00483CBD">
        <w:rPr>
          <w:rFonts w:asciiTheme="minorHAnsi" w:hAnsiTheme="minorHAnsi"/>
        </w:rPr>
        <w:t xml:space="preserve"> </w:t>
      </w:r>
    </w:p>
    <w:sectPr w:rsidR="000E43EB" w:rsidRPr="003A461B" w:rsidSect="00DA5863">
      <w:headerReference w:type="even" r:id="rId8"/>
      <w:headerReference w:type="default" r:id="rId9"/>
      <w:footerReference w:type="even" r:id="rId10"/>
      <w:footerReference w:type="default" r:id="rId11"/>
      <w:headerReference w:type="first" r:id="rId12"/>
      <w:footerReference w:type="first" r:id="rId13"/>
      <w:pgSz w:w="16840" w:h="11900" w:orient="landscape"/>
      <w:pgMar w:top="8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FC9" w:rsidRDefault="00E54FC9">
      <w:r>
        <w:separator/>
      </w:r>
    </w:p>
  </w:endnote>
  <w:endnote w:type="continuationSeparator" w:id="0">
    <w:p w:rsidR="00E54FC9" w:rsidRDefault="00E5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A53" w:rsidRDefault="002A0A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A53" w:rsidRDefault="002A0A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A53" w:rsidRDefault="002A0A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FC9" w:rsidRDefault="00E54FC9">
      <w:r>
        <w:separator/>
      </w:r>
    </w:p>
  </w:footnote>
  <w:footnote w:type="continuationSeparator" w:id="0">
    <w:p w:rsidR="00E54FC9" w:rsidRDefault="00E5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E4" w:rsidRDefault="00E856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58" w:rsidRDefault="00E974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E4" w:rsidRDefault="00E856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2A6C"/>
    <w:multiLevelType w:val="hybridMultilevel"/>
    <w:tmpl w:val="9D2080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416F2E"/>
    <w:multiLevelType w:val="hybridMultilevel"/>
    <w:tmpl w:val="1EB453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946AD9"/>
    <w:multiLevelType w:val="hybridMultilevel"/>
    <w:tmpl w:val="69487D56"/>
    <w:lvl w:ilvl="0" w:tplc="D6DC4834">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3B2C35F4"/>
    <w:multiLevelType w:val="hybridMultilevel"/>
    <w:tmpl w:val="8AC295A4"/>
    <w:lvl w:ilvl="0" w:tplc="2D92AFA2">
      <w:start w:val="6"/>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58B0BE8"/>
    <w:multiLevelType w:val="multilevel"/>
    <w:tmpl w:val="D3260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D343D"/>
    <w:multiLevelType w:val="hybridMultilevel"/>
    <w:tmpl w:val="775EE758"/>
    <w:lvl w:ilvl="0" w:tplc="9758A2B4">
      <w:start w:val="1"/>
      <w:numFmt w:val="lowerLetter"/>
      <w:lvlText w:val="%1)"/>
      <w:lvlJc w:val="left"/>
      <w:pPr>
        <w:ind w:left="720" w:hanging="360"/>
      </w:pPr>
      <w:rPr>
        <w:rFonts w:hint="default"/>
        <w:color w:val="05070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3C3009"/>
    <w:multiLevelType w:val="hybridMultilevel"/>
    <w:tmpl w:val="4364B524"/>
    <w:lvl w:ilvl="0" w:tplc="E70C4FF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7A3E017E"/>
    <w:multiLevelType w:val="hybridMultilevel"/>
    <w:tmpl w:val="B998ACB2"/>
    <w:lvl w:ilvl="0" w:tplc="C870ECF6">
      <w:start w:val="1"/>
      <w:numFmt w:val="bullet"/>
      <w:lvlText w:val="-"/>
      <w:lvlJc w:val="left"/>
      <w:pPr>
        <w:tabs>
          <w:tab w:val="num" w:pos="720"/>
        </w:tabs>
        <w:ind w:left="720" w:hanging="360"/>
      </w:pPr>
      <w:rPr>
        <w:rFonts w:ascii="Times New Roman" w:hAnsi="Times New Roman" w:hint="default"/>
      </w:rPr>
    </w:lvl>
    <w:lvl w:ilvl="1" w:tplc="5D202D66" w:tentative="1">
      <w:start w:val="1"/>
      <w:numFmt w:val="bullet"/>
      <w:lvlText w:val="-"/>
      <w:lvlJc w:val="left"/>
      <w:pPr>
        <w:tabs>
          <w:tab w:val="num" w:pos="1440"/>
        </w:tabs>
        <w:ind w:left="1440" w:hanging="360"/>
      </w:pPr>
      <w:rPr>
        <w:rFonts w:ascii="Times New Roman" w:hAnsi="Times New Roman" w:hint="default"/>
      </w:rPr>
    </w:lvl>
    <w:lvl w:ilvl="2" w:tplc="267CE828" w:tentative="1">
      <w:start w:val="1"/>
      <w:numFmt w:val="bullet"/>
      <w:lvlText w:val="-"/>
      <w:lvlJc w:val="left"/>
      <w:pPr>
        <w:tabs>
          <w:tab w:val="num" w:pos="2160"/>
        </w:tabs>
        <w:ind w:left="2160" w:hanging="360"/>
      </w:pPr>
      <w:rPr>
        <w:rFonts w:ascii="Times New Roman" w:hAnsi="Times New Roman" w:hint="default"/>
      </w:rPr>
    </w:lvl>
    <w:lvl w:ilvl="3" w:tplc="D36E9F9C" w:tentative="1">
      <w:start w:val="1"/>
      <w:numFmt w:val="bullet"/>
      <w:lvlText w:val="-"/>
      <w:lvlJc w:val="left"/>
      <w:pPr>
        <w:tabs>
          <w:tab w:val="num" w:pos="2880"/>
        </w:tabs>
        <w:ind w:left="2880" w:hanging="360"/>
      </w:pPr>
      <w:rPr>
        <w:rFonts w:ascii="Times New Roman" w:hAnsi="Times New Roman" w:hint="default"/>
      </w:rPr>
    </w:lvl>
    <w:lvl w:ilvl="4" w:tplc="AD9CBBA8" w:tentative="1">
      <w:start w:val="1"/>
      <w:numFmt w:val="bullet"/>
      <w:lvlText w:val="-"/>
      <w:lvlJc w:val="left"/>
      <w:pPr>
        <w:tabs>
          <w:tab w:val="num" w:pos="3600"/>
        </w:tabs>
        <w:ind w:left="3600" w:hanging="360"/>
      </w:pPr>
      <w:rPr>
        <w:rFonts w:ascii="Times New Roman" w:hAnsi="Times New Roman" w:hint="default"/>
      </w:rPr>
    </w:lvl>
    <w:lvl w:ilvl="5" w:tplc="95429BC2" w:tentative="1">
      <w:start w:val="1"/>
      <w:numFmt w:val="bullet"/>
      <w:lvlText w:val="-"/>
      <w:lvlJc w:val="left"/>
      <w:pPr>
        <w:tabs>
          <w:tab w:val="num" w:pos="4320"/>
        </w:tabs>
        <w:ind w:left="4320" w:hanging="360"/>
      </w:pPr>
      <w:rPr>
        <w:rFonts w:ascii="Times New Roman" w:hAnsi="Times New Roman" w:hint="default"/>
      </w:rPr>
    </w:lvl>
    <w:lvl w:ilvl="6" w:tplc="E8FC953A" w:tentative="1">
      <w:start w:val="1"/>
      <w:numFmt w:val="bullet"/>
      <w:lvlText w:val="-"/>
      <w:lvlJc w:val="left"/>
      <w:pPr>
        <w:tabs>
          <w:tab w:val="num" w:pos="5040"/>
        </w:tabs>
        <w:ind w:left="5040" w:hanging="360"/>
      </w:pPr>
      <w:rPr>
        <w:rFonts w:ascii="Times New Roman" w:hAnsi="Times New Roman" w:hint="default"/>
      </w:rPr>
    </w:lvl>
    <w:lvl w:ilvl="7" w:tplc="53DA2BCC" w:tentative="1">
      <w:start w:val="1"/>
      <w:numFmt w:val="bullet"/>
      <w:lvlText w:val="-"/>
      <w:lvlJc w:val="left"/>
      <w:pPr>
        <w:tabs>
          <w:tab w:val="num" w:pos="5760"/>
        </w:tabs>
        <w:ind w:left="5760" w:hanging="360"/>
      </w:pPr>
      <w:rPr>
        <w:rFonts w:ascii="Times New Roman" w:hAnsi="Times New Roman" w:hint="default"/>
      </w:rPr>
    </w:lvl>
    <w:lvl w:ilvl="8" w:tplc="A83A6A1C"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58"/>
    <w:rsid w:val="0001103D"/>
    <w:rsid w:val="00026F5E"/>
    <w:rsid w:val="000405D7"/>
    <w:rsid w:val="00047116"/>
    <w:rsid w:val="00063450"/>
    <w:rsid w:val="000E43EB"/>
    <w:rsid w:val="00107E83"/>
    <w:rsid w:val="00111249"/>
    <w:rsid w:val="00120C07"/>
    <w:rsid w:val="00127232"/>
    <w:rsid w:val="00134DFC"/>
    <w:rsid w:val="0014173D"/>
    <w:rsid w:val="00160B35"/>
    <w:rsid w:val="00171095"/>
    <w:rsid w:val="0017399D"/>
    <w:rsid w:val="001958ED"/>
    <w:rsid w:val="001C17EF"/>
    <w:rsid w:val="001C1843"/>
    <w:rsid w:val="001D0F81"/>
    <w:rsid w:val="001D5ADB"/>
    <w:rsid w:val="001E129E"/>
    <w:rsid w:val="001E2E27"/>
    <w:rsid w:val="001E789E"/>
    <w:rsid w:val="001F2855"/>
    <w:rsid w:val="00203933"/>
    <w:rsid w:val="00222247"/>
    <w:rsid w:val="00245F09"/>
    <w:rsid w:val="00273F11"/>
    <w:rsid w:val="0029670B"/>
    <w:rsid w:val="002A0A53"/>
    <w:rsid w:val="002B469F"/>
    <w:rsid w:val="002F2A33"/>
    <w:rsid w:val="003029A7"/>
    <w:rsid w:val="00316F86"/>
    <w:rsid w:val="003175C1"/>
    <w:rsid w:val="0033517F"/>
    <w:rsid w:val="00341016"/>
    <w:rsid w:val="00342AAF"/>
    <w:rsid w:val="0036171F"/>
    <w:rsid w:val="003620FA"/>
    <w:rsid w:val="0036241E"/>
    <w:rsid w:val="00373E09"/>
    <w:rsid w:val="00386ED0"/>
    <w:rsid w:val="003968C2"/>
    <w:rsid w:val="003A461B"/>
    <w:rsid w:val="003F706B"/>
    <w:rsid w:val="00414E87"/>
    <w:rsid w:val="00420304"/>
    <w:rsid w:val="00433AE5"/>
    <w:rsid w:val="00451295"/>
    <w:rsid w:val="00460171"/>
    <w:rsid w:val="00467E97"/>
    <w:rsid w:val="00480346"/>
    <w:rsid w:val="00483CBD"/>
    <w:rsid w:val="004B2847"/>
    <w:rsid w:val="004D4000"/>
    <w:rsid w:val="005260CD"/>
    <w:rsid w:val="00565FDB"/>
    <w:rsid w:val="00566DB1"/>
    <w:rsid w:val="00577499"/>
    <w:rsid w:val="00586D66"/>
    <w:rsid w:val="005B25CF"/>
    <w:rsid w:val="005C110D"/>
    <w:rsid w:val="0062609C"/>
    <w:rsid w:val="00667E91"/>
    <w:rsid w:val="006A5AA6"/>
    <w:rsid w:val="006D4F28"/>
    <w:rsid w:val="00766BA9"/>
    <w:rsid w:val="00767C13"/>
    <w:rsid w:val="007904DA"/>
    <w:rsid w:val="007A23C4"/>
    <w:rsid w:val="007A72AC"/>
    <w:rsid w:val="007C0B61"/>
    <w:rsid w:val="007C21D2"/>
    <w:rsid w:val="007F722D"/>
    <w:rsid w:val="00820B32"/>
    <w:rsid w:val="0084790A"/>
    <w:rsid w:val="00854A24"/>
    <w:rsid w:val="00872B63"/>
    <w:rsid w:val="0088000A"/>
    <w:rsid w:val="008B63D6"/>
    <w:rsid w:val="009046FF"/>
    <w:rsid w:val="00907AC3"/>
    <w:rsid w:val="00964376"/>
    <w:rsid w:val="00986701"/>
    <w:rsid w:val="00992C21"/>
    <w:rsid w:val="009B2392"/>
    <w:rsid w:val="00A06E29"/>
    <w:rsid w:val="00A456CC"/>
    <w:rsid w:val="00A60AB4"/>
    <w:rsid w:val="00A77D2E"/>
    <w:rsid w:val="00A873DD"/>
    <w:rsid w:val="00AA2735"/>
    <w:rsid w:val="00AF364B"/>
    <w:rsid w:val="00B60BFE"/>
    <w:rsid w:val="00B71F58"/>
    <w:rsid w:val="00B97E18"/>
    <w:rsid w:val="00BD4D26"/>
    <w:rsid w:val="00BF5CE9"/>
    <w:rsid w:val="00C26BB1"/>
    <w:rsid w:val="00C45703"/>
    <w:rsid w:val="00C825CD"/>
    <w:rsid w:val="00C869B1"/>
    <w:rsid w:val="00CB717C"/>
    <w:rsid w:val="00CE1548"/>
    <w:rsid w:val="00CE3759"/>
    <w:rsid w:val="00CF58E8"/>
    <w:rsid w:val="00CF77A3"/>
    <w:rsid w:val="00D17F49"/>
    <w:rsid w:val="00D56276"/>
    <w:rsid w:val="00DA413A"/>
    <w:rsid w:val="00DA5863"/>
    <w:rsid w:val="00DB0F7B"/>
    <w:rsid w:val="00DB6E86"/>
    <w:rsid w:val="00DC08AE"/>
    <w:rsid w:val="00DD4624"/>
    <w:rsid w:val="00DF1B67"/>
    <w:rsid w:val="00E07432"/>
    <w:rsid w:val="00E2020A"/>
    <w:rsid w:val="00E2124F"/>
    <w:rsid w:val="00E24095"/>
    <w:rsid w:val="00E27F36"/>
    <w:rsid w:val="00E3300E"/>
    <w:rsid w:val="00E37BBB"/>
    <w:rsid w:val="00E4198C"/>
    <w:rsid w:val="00E53847"/>
    <w:rsid w:val="00E54FC9"/>
    <w:rsid w:val="00E64BD8"/>
    <w:rsid w:val="00E719FE"/>
    <w:rsid w:val="00E856E4"/>
    <w:rsid w:val="00E97458"/>
    <w:rsid w:val="00EB3B91"/>
    <w:rsid w:val="00EC49AB"/>
    <w:rsid w:val="00F0230F"/>
    <w:rsid w:val="00F03C78"/>
    <w:rsid w:val="00F74FEC"/>
    <w:rsid w:val="00FA398B"/>
    <w:rsid w:val="00FE5193"/>
    <w:rsid w:val="00FF191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E115E"/>
  <w15:docId w15:val="{515C61D2-B097-8142-B736-9EE5F721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LU"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lang w:val="fr-FR"/>
    </w:rPr>
  </w:style>
  <w:style w:type="paragraph" w:customStyle="1" w:styleId="Styledetableau2">
    <w:name w:val="Style de tableau 2"/>
    <w:rPr>
      <w:rFonts w:ascii="Helvetica Neue" w:eastAsia="Helvetica Neue" w:hAnsi="Helvetica Neue" w:cs="Helvetica Neue"/>
      <w:color w:val="000000"/>
    </w:rPr>
  </w:style>
  <w:style w:type="paragraph" w:styleId="En-tte">
    <w:name w:val="header"/>
    <w:basedOn w:val="Normal"/>
    <w:link w:val="En-tteCar"/>
    <w:uiPriority w:val="99"/>
    <w:unhideWhenUsed/>
    <w:rsid w:val="00E856E4"/>
    <w:pPr>
      <w:tabs>
        <w:tab w:val="center" w:pos="4536"/>
        <w:tab w:val="right" w:pos="9072"/>
      </w:tabs>
    </w:pPr>
  </w:style>
  <w:style w:type="character" w:customStyle="1" w:styleId="En-tteCar">
    <w:name w:val="En-tête Car"/>
    <w:basedOn w:val="Policepardfaut"/>
    <w:link w:val="En-tte"/>
    <w:uiPriority w:val="99"/>
    <w:rsid w:val="00E856E4"/>
    <w:rPr>
      <w:sz w:val="24"/>
      <w:szCs w:val="24"/>
      <w:lang w:val="en-US" w:eastAsia="en-US"/>
    </w:rPr>
  </w:style>
  <w:style w:type="paragraph" w:styleId="Pieddepage">
    <w:name w:val="footer"/>
    <w:basedOn w:val="Normal"/>
    <w:link w:val="PieddepageCar"/>
    <w:uiPriority w:val="99"/>
    <w:unhideWhenUsed/>
    <w:rsid w:val="00E856E4"/>
    <w:pPr>
      <w:tabs>
        <w:tab w:val="center" w:pos="4536"/>
        <w:tab w:val="right" w:pos="9072"/>
      </w:tabs>
    </w:pPr>
  </w:style>
  <w:style w:type="character" w:customStyle="1" w:styleId="PieddepageCar">
    <w:name w:val="Pied de page Car"/>
    <w:basedOn w:val="Policepardfaut"/>
    <w:link w:val="Pieddepage"/>
    <w:uiPriority w:val="99"/>
    <w:rsid w:val="00E856E4"/>
    <w:rPr>
      <w:sz w:val="24"/>
      <w:szCs w:val="24"/>
      <w:lang w:val="en-US" w:eastAsia="en-US"/>
    </w:rPr>
  </w:style>
  <w:style w:type="paragraph" w:styleId="Paragraphedeliste">
    <w:name w:val="List Paragraph"/>
    <w:basedOn w:val="Normal"/>
    <w:uiPriority w:val="34"/>
    <w:qFormat/>
    <w:rsid w:val="00766BA9"/>
    <w:pPr>
      <w:ind w:left="720"/>
      <w:contextualSpacing/>
    </w:pPr>
  </w:style>
  <w:style w:type="paragraph" w:styleId="NormalWeb">
    <w:name w:val="Normal (Web)"/>
    <w:basedOn w:val="Normal"/>
    <w:uiPriority w:val="99"/>
    <w:unhideWhenUsed/>
    <w:rsid w:val="00766B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LU" w:eastAsia="fr-FR"/>
    </w:rPr>
  </w:style>
  <w:style w:type="paragraph" w:styleId="Textedebulles">
    <w:name w:val="Balloon Text"/>
    <w:basedOn w:val="Normal"/>
    <w:link w:val="TextedebullesCar"/>
    <w:uiPriority w:val="99"/>
    <w:semiHidden/>
    <w:unhideWhenUsed/>
    <w:rsid w:val="003620FA"/>
    <w:rPr>
      <w:sz w:val="18"/>
      <w:szCs w:val="18"/>
    </w:rPr>
  </w:style>
  <w:style w:type="character" w:customStyle="1" w:styleId="TextedebullesCar">
    <w:name w:val="Texte de bulles Car"/>
    <w:basedOn w:val="Policepardfaut"/>
    <w:link w:val="Textedebulles"/>
    <w:uiPriority w:val="99"/>
    <w:semiHidden/>
    <w:rsid w:val="003620FA"/>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742">
      <w:bodyDiv w:val="1"/>
      <w:marLeft w:val="0"/>
      <w:marRight w:val="0"/>
      <w:marTop w:val="0"/>
      <w:marBottom w:val="0"/>
      <w:divBdr>
        <w:top w:val="none" w:sz="0" w:space="0" w:color="auto"/>
        <w:left w:val="none" w:sz="0" w:space="0" w:color="auto"/>
        <w:bottom w:val="none" w:sz="0" w:space="0" w:color="auto"/>
        <w:right w:val="none" w:sz="0" w:space="0" w:color="auto"/>
      </w:divBdr>
      <w:divsChild>
        <w:div w:id="158828">
          <w:marLeft w:val="0"/>
          <w:marRight w:val="0"/>
          <w:marTop w:val="0"/>
          <w:marBottom w:val="0"/>
          <w:divBdr>
            <w:top w:val="none" w:sz="0" w:space="0" w:color="auto"/>
            <w:left w:val="none" w:sz="0" w:space="0" w:color="auto"/>
            <w:bottom w:val="none" w:sz="0" w:space="0" w:color="auto"/>
            <w:right w:val="none" w:sz="0" w:space="0" w:color="auto"/>
          </w:divBdr>
          <w:divsChild>
            <w:div w:id="110053554">
              <w:marLeft w:val="0"/>
              <w:marRight w:val="0"/>
              <w:marTop w:val="0"/>
              <w:marBottom w:val="0"/>
              <w:divBdr>
                <w:top w:val="none" w:sz="0" w:space="0" w:color="auto"/>
                <w:left w:val="none" w:sz="0" w:space="0" w:color="auto"/>
                <w:bottom w:val="none" w:sz="0" w:space="0" w:color="auto"/>
                <w:right w:val="none" w:sz="0" w:space="0" w:color="auto"/>
              </w:divBdr>
              <w:divsChild>
                <w:div w:id="6294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6091">
      <w:bodyDiv w:val="1"/>
      <w:marLeft w:val="0"/>
      <w:marRight w:val="0"/>
      <w:marTop w:val="0"/>
      <w:marBottom w:val="0"/>
      <w:divBdr>
        <w:top w:val="none" w:sz="0" w:space="0" w:color="auto"/>
        <w:left w:val="none" w:sz="0" w:space="0" w:color="auto"/>
        <w:bottom w:val="none" w:sz="0" w:space="0" w:color="auto"/>
        <w:right w:val="none" w:sz="0" w:space="0" w:color="auto"/>
      </w:divBdr>
      <w:divsChild>
        <w:div w:id="771126692">
          <w:marLeft w:val="0"/>
          <w:marRight w:val="0"/>
          <w:marTop w:val="0"/>
          <w:marBottom w:val="0"/>
          <w:divBdr>
            <w:top w:val="none" w:sz="0" w:space="0" w:color="auto"/>
            <w:left w:val="none" w:sz="0" w:space="0" w:color="auto"/>
            <w:bottom w:val="none" w:sz="0" w:space="0" w:color="auto"/>
            <w:right w:val="none" w:sz="0" w:space="0" w:color="auto"/>
          </w:divBdr>
          <w:divsChild>
            <w:div w:id="827937212">
              <w:marLeft w:val="0"/>
              <w:marRight w:val="0"/>
              <w:marTop w:val="0"/>
              <w:marBottom w:val="0"/>
              <w:divBdr>
                <w:top w:val="none" w:sz="0" w:space="0" w:color="auto"/>
                <w:left w:val="none" w:sz="0" w:space="0" w:color="auto"/>
                <w:bottom w:val="none" w:sz="0" w:space="0" w:color="auto"/>
                <w:right w:val="none" w:sz="0" w:space="0" w:color="auto"/>
              </w:divBdr>
              <w:divsChild>
                <w:div w:id="2031762728">
                  <w:marLeft w:val="0"/>
                  <w:marRight w:val="0"/>
                  <w:marTop w:val="0"/>
                  <w:marBottom w:val="0"/>
                  <w:divBdr>
                    <w:top w:val="none" w:sz="0" w:space="0" w:color="auto"/>
                    <w:left w:val="none" w:sz="0" w:space="0" w:color="auto"/>
                    <w:bottom w:val="none" w:sz="0" w:space="0" w:color="auto"/>
                    <w:right w:val="none" w:sz="0" w:space="0" w:color="auto"/>
                  </w:divBdr>
                  <w:divsChild>
                    <w:div w:id="981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3485">
      <w:bodyDiv w:val="1"/>
      <w:marLeft w:val="0"/>
      <w:marRight w:val="0"/>
      <w:marTop w:val="0"/>
      <w:marBottom w:val="0"/>
      <w:divBdr>
        <w:top w:val="none" w:sz="0" w:space="0" w:color="auto"/>
        <w:left w:val="none" w:sz="0" w:space="0" w:color="auto"/>
        <w:bottom w:val="none" w:sz="0" w:space="0" w:color="auto"/>
        <w:right w:val="none" w:sz="0" w:space="0" w:color="auto"/>
      </w:divBdr>
      <w:divsChild>
        <w:div w:id="1298873194">
          <w:marLeft w:val="216"/>
          <w:marRight w:val="0"/>
          <w:marTop w:val="18"/>
          <w:marBottom w:val="0"/>
          <w:divBdr>
            <w:top w:val="none" w:sz="0" w:space="0" w:color="auto"/>
            <w:left w:val="none" w:sz="0" w:space="0" w:color="auto"/>
            <w:bottom w:val="none" w:sz="0" w:space="0" w:color="auto"/>
            <w:right w:val="none" w:sz="0" w:space="0" w:color="auto"/>
          </w:divBdr>
        </w:div>
        <w:div w:id="414742317">
          <w:marLeft w:val="216"/>
          <w:marRight w:val="0"/>
          <w:marTop w:val="0"/>
          <w:marBottom w:val="0"/>
          <w:divBdr>
            <w:top w:val="none" w:sz="0" w:space="0" w:color="auto"/>
            <w:left w:val="none" w:sz="0" w:space="0" w:color="auto"/>
            <w:bottom w:val="none" w:sz="0" w:space="0" w:color="auto"/>
            <w:right w:val="none" w:sz="0" w:space="0" w:color="auto"/>
          </w:divBdr>
        </w:div>
        <w:div w:id="1626614507">
          <w:marLeft w:val="216"/>
          <w:marRight w:val="0"/>
          <w:marTop w:val="0"/>
          <w:marBottom w:val="0"/>
          <w:divBdr>
            <w:top w:val="none" w:sz="0" w:space="0" w:color="auto"/>
            <w:left w:val="none" w:sz="0" w:space="0" w:color="auto"/>
            <w:bottom w:val="none" w:sz="0" w:space="0" w:color="auto"/>
            <w:right w:val="none" w:sz="0" w:space="0" w:color="auto"/>
          </w:divBdr>
        </w:div>
        <w:div w:id="762409278">
          <w:marLeft w:val="216"/>
          <w:marRight w:val="0"/>
          <w:marTop w:val="0"/>
          <w:marBottom w:val="0"/>
          <w:divBdr>
            <w:top w:val="none" w:sz="0" w:space="0" w:color="auto"/>
            <w:left w:val="none" w:sz="0" w:space="0" w:color="auto"/>
            <w:bottom w:val="none" w:sz="0" w:space="0" w:color="auto"/>
            <w:right w:val="none" w:sz="0" w:space="0" w:color="auto"/>
          </w:divBdr>
        </w:div>
        <w:div w:id="1586840630">
          <w:marLeft w:val="216"/>
          <w:marRight w:val="0"/>
          <w:marTop w:val="0"/>
          <w:marBottom w:val="0"/>
          <w:divBdr>
            <w:top w:val="none" w:sz="0" w:space="0" w:color="auto"/>
            <w:left w:val="none" w:sz="0" w:space="0" w:color="auto"/>
            <w:bottom w:val="none" w:sz="0" w:space="0" w:color="auto"/>
            <w:right w:val="none" w:sz="0" w:space="0" w:color="auto"/>
          </w:divBdr>
        </w:div>
        <w:div w:id="506142031">
          <w:marLeft w:val="216"/>
          <w:marRight w:val="0"/>
          <w:marTop w:val="0"/>
          <w:marBottom w:val="0"/>
          <w:divBdr>
            <w:top w:val="none" w:sz="0" w:space="0" w:color="auto"/>
            <w:left w:val="none" w:sz="0" w:space="0" w:color="auto"/>
            <w:bottom w:val="none" w:sz="0" w:space="0" w:color="auto"/>
            <w:right w:val="none" w:sz="0" w:space="0" w:color="auto"/>
          </w:divBdr>
        </w:div>
        <w:div w:id="942423309">
          <w:marLeft w:val="216"/>
          <w:marRight w:val="0"/>
          <w:marTop w:val="0"/>
          <w:marBottom w:val="0"/>
          <w:divBdr>
            <w:top w:val="none" w:sz="0" w:space="0" w:color="auto"/>
            <w:left w:val="none" w:sz="0" w:space="0" w:color="auto"/>
            <w:bottom w:val="none" w:sz="0" w:space="0" w:color="auto"/>
            <w:right w:val="none" w:sz="0" w:space="0" w:color="auto"/>
          </w:divBdr>
        </w:div>
        <w:div w:id="1871330911">
          <w:marLeft w:val="21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787F-CE13-324D-8ADA-DB38A058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 kollwelter</cp:lastModifiedBy>
  <cp:revision>11</cp:revision>
  <dcterms:created xsi:type="dcterms:W3CDTF">2018-10-21T16:09:00Z</dcterms:created>
  <dcterms:modified xsi:type="dcterms:W3CDTF">2018-10-25T13:48:00Z</dcterms:modified>
</cp:coreProperties>
</file>